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158E2" w14:textId="77777777" w:rsidR="00AE0E24" w:rsidRDefault="008246D5">
      <w:pPr>
        <w:pStyle w:val="BodyText"/>
        <w:ind w:left="3076"/>
        <w:rPr>
          <w:rFonts w:ascii="Times New Roman"/>
          <w:sz w:val="20"/>
        </w:rPr>
      </w:pPr>
      <w:r>
        <w:rPr>
          <w:rFonts w:ascii="Times New Roman"/>
          <w:noProof/>
          <w:sz w:val="20"/>
        </w:rPr>
        <w:drawing>
          <wp:inline distT="0" distB="0" distL="0" distR="0" wp14:anchorId="05D15912" wp14:editId="05D15913">
            <wp:extent cx="1692018"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692018" cy="1303020"/>
                    </a:xfrm>
                    <a:prstGeom prst="rect">
                      <a:avLst/>
                    </a:prstGeom>
                  </pic:spPr>
                </pic:pic>
              </a:graphicData>
            </a:graphic>
          </wp:inline>
        </w:drawing>
      </w:r>
    </w:p>
    <w:p w14:paraId="05D158E3" w14:textId="77777777" w:rsidR="00AE0E24" w:rsidRDefault="00AE0E24">
      <w:pPr>
        <w:pStyle w:val="BodyText"/>
        <w:spacing w:before="4"/>
        <w:rPr>
          <w:rFonts w:ascii="Times New Roman"/>
          <w:sz w:val="22"/>
        </w:rPr>
      </w:pPr>
    </w:p>
    <w:p w14:paraId="05D158E4" w14:textId="59521E85" w:rsidR="00AE0E24" w:rsidRDefault="002B6BEF" w:rsidP="00E37FD9">
      <w:pPr>
        <w:pStyle w:val="Heading1"/>
        <w:spacing w:before="0"/>
        <w:ind w:left="715"/>
        <w:jc w:val="center"/>
        <w:rPr>
          <w:color w:val="1F497D" w:themeColor="text2"/>
          <w:spacing w:val="72"/>
        </w:rPr>
      </w:pPr>
      <w:r>
        <w:rPr>
          <w:color w:val="1F497D" w:themeColor="text2"/>
          <w:spacing w:val="72"/>
        </w:rPr>
        <w:t xml:space="preserve">COMPLIANCE </w:t>
      </w:r>
      <w:r w:rsidR="00547CF2">
        <w:rPr>
          <w:color w:val="1F497D" w:themeColor="text2"/>
          <w:spacing w:val="72"/>
        </w:rPr>
        <w:t>MONITORING</w:t>
      </w:r>
    </w:p>
    <w:p w14:paraId="1E741F3C" w14:textId="227B9BB5" w:rsidR="002B6BEF" w:rsidRPr="00E37FD9" w:rsidRDefault="002B6BEF" w:rsidP="00E37FD9">
      <w:pPr>
        <w:pStyle w:val="Heading1"/>
        <w:spacing w:before="0"/>
        <w:ind w:left="715"/>
        <w:jc w:val="center"/>
        <w:rPr>
          <w:color w:val="1F497D" w:themeColor="text2"/>
          <w:spacing w:val="72"/>
        </w:rPr>
      </w:pPr>
      <w:r>
        <w:rPr>
          <w:color w:val="1F497D" w:themeColor="text2"/>
          <w:spacing w:val="72"/>
        </w:rPr>
        <w:t>Training outline</w:t>
      </w:r>
    </w:p>
    <w:p w14:paraId="05D158E5" w14:textId="7386CE9A" w:rsidR="00AE0E24" w:rsidRDefault="00EB52F2">
      <w:pPr>
        <w:pStyle w:val="Heading1"/>
        <w:spacing w:before="0" w:line="266" w:lineRule="exact"/>
      </w:pPr>
      <w:r>
        <w:t xml:space="preserve"> </w:t>
      </w:r>
    </w:p>
    <w:p w14:paraId="05D158E6" w14:textId="77777777" w:rsidR="00AE0E24" w:rsidRDefault="00AE0E24">
      <w:pPr>
        <w:pStyle w:val="BodyText"/>
        <w:spacing w:before="9"/>
        <w:rPr>
          <w:b/>
          <w:sz w:val="21"/>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9"/>
        <w:gridCol w:w="1693"/>
        <w:gridCol w:w="2618"/>
        <w:gridCol w:w="1150"/>
        <w:gridCol w:w="1296"/>
      </w:tblGrid>
      <w:tr w:rsidR="00AE0E24" w14:paraId="05D158ED" w14:textId="77777777">
        <w:trPr>
          <w:trHeight w:val="967"/>
        </w:trPr>
        <w:tc>
          <w:tcPr>
            <w:tcW w:w="1769" w:type="dxa"/>
            <w:tcBorders>
              <w:bottom w:val="single" w:sz="8" w:space="0" w:color="000000"/>
              <w:right w:val="single" w:sz="8" w:space="0" w:color="000000"/>
            </w:tcBorders>
          </w:tcPr>
          <w:p w14:paraId="05D158E7" w14:textId="77777777" w:rsidR="00AE0E24" w:rsidRDefault="008246D5">
            <w:pPr>
              <w:pStyle w:val="TableParagraph"/>
              <w:spacing w:line="268" w:lineRule="auto"/>
              <w:ind w:right="292"/>
              <w:rPr>
                <w:b/>
                <w:sz w:val="20"/>
              </w:rPr>
            </w:pPr>
            <w:r>
              <w:rPr>
                <w:b/>
                <w:spacing w:val="-1"/>
                <w:w w:val="105"/>
                <w:sz w:val="20"/>
              </w:rPr>
              <w:t>Cost</w:t>
            </w:r>
            <w:r>
              <w:rPr>
                <w:b/>
                <w:spacing w:val="-11"/>
                <w:w w:val="105"/>
                <w:sz w:val="20"/>
              </w:rPr>
              <w:t xml:space="preserve"> </w:t>
            </w:r>
            <w:r>
              <w:rPr>
                <w:b/>
                <w:w w:val="105"/>
                <w:sz w:val="20"/>
              </w:rPr>
              <w:t>per</w:t>
            </w:r>
            <w:r>
              <w:rPr>
                <w:b/>
                <w:spacing w:val="-10"/>
                <w:w w:val="105"/>
                <w:sz w:val="20"/>
              </w:rPr>
              <w:t xml:space="preserve"> </w:t>
            </w:r>
            <w:r>
              <w:rPr>
                <w:b/>
                <w:w w:val="105"/>
                <w:sz w:val="20"/>
              </w:rPr>
              <w:t>person</w:t>
            </w:r>
            <w:r>
              <w:rPr>
                <w:b/>
                <w:spacing w:val="-45"/>
                <w:w w:val="105"/>
                <w:sz w:val="20"/>
              </w:rPr>
              <w:t xml:space="preserve"> </w:t>
            </w:r>
            <w:r>
              <w:rPr>
                <w:b/>
                <w:w w:val="105"/>
                <w:sz w:val="20"/>
              </w:rPr>
              <w:t>Incl.</w:t>
            </w:r>
            <w:r>
              <w:rPr>
                <w:b/>
                <w:spacing w:val="-3"/>
                <w:w w:val="105"/>
                <w:sz w:val="20"/>
              </w:rPr>
              <w:t xml:space="preserve"> </w:t>
            </w:r>
            <w:r>
              <w:rPr>
                <w:b/>
                <w:w w:val="105"/>
                <w:sz w:val="20"/>
              </w:rPr>
              <w:t>vat</w:t>
            </w:r>
          </w:p>
        </w:tc>
        <w:tc>
          <w:tcPr>
            <w:tcW w:w="1693" w:type="dxa"/>
            <w:tcBorders>
              <w:left w:val="single" w:sz="8" w:space="0" w:color="000000"/>
              <w:bottom w:val="single" w:sz="8" w:space="0" w:color="000000"/>
              <w:right w:val="single" w:sz="8" w:space="0" w:color="000000"/>
            </w:tcBorders>
          </w:tcPr>
          <w:p w14:paraId="05D158E8" w14:textId="77777777" w:rsidR="00AE0E24" w:rsidRDefault="008246D5">
            <w:pPr>
              <w:pStyle w:val="TableParagraph"/>
              <w:spacing w:line="268" w:lineRule="auto"/>
              <w:ind w:left="96" w:right="258" w:hanging="1"/>
              <w:rPr>
                <w:b/>
                <w:sz w:val="20"/>
              </w:rPr>
            </w:pPr>
            <w:r>
              <w:rPr>
                <w:b/>
                <w:spacing w:val="-1"/>
                <w:w w:val="105"/>
                <w:sz w:val="20"/>
              </w:rPr>
              <w:t>CPD</w:t>
            </w:r>
            <w:r>
              <w:rPr>
                <w:b/>
                <w:spacing w:val="-11"/>
                <w:w w:val="105"/>
                <w:sz w:val="20"/>
              </w:rPr>
              <w:t xml:space="preserve"> </w:t>
            </w:r>
            <w:r>
              <w:rPr>
                <w:b/>
                <w:w w:val="105"/>
                <w:sz w:val="20"/>
              </w:rPr>
              <w:t>Points</w:t>
            </w:r>
            <w:r>
              <w:rPr>
                <w:b/>
                <w:spacing w:val="-11"/>
                <w:w w:val="105"/>
                <w:sz w:val="20"/>
              </w:rPr>
              <w:t xml:space="preserve"> </w:t>
            </w:r>
            <w:r>
              <w:rPr>
                <w:b/>
                <w:w w:val="105"/>
                <w:sz w:val="20"/>
              </w:rPr>
              <w:t>and</w:t>
            </w:r>
            <w:r>
              <w:rPr>
                <w:b/>
                <w:spacing w:val="-44"/>
                <w:w w:val="105"/>
                <w:sz w:val="20"/>
              </w:rPr>
              <w:t xml:space="preserve"> </w:t>
            </w:r>
            <w:r>
              <w:rPr>
                <w:b/>
                <w:w w:val="105"/>
                <w:sz w:val="20"/>
              </w:rPr>
              <w:t>Accreditation</w:t>
            </w:r>
          </w:p>
        </w:tc>
        <w:tc>
          <w:tcPr>
            <w:tcW w:w="2618" w:type="dxa"/>
            <w:tcBorders>
              <w:left w:val="single" w:sz="8" w:space="0" w:color="000000"/>
              <w:bottom w:val="single" w:sz="8" w:space="0" w:color="000000"/>
              <w:right w:val="single" w:sz="8" w:space="0" w:color="000000"/>
            </w:tcBorders>
          </w:tcPr>
          <w:p w14:paraId="05D158E9" w14:textId="77777777" w:rsidR="00AE0E24" w:rsidRDefault="008246D5">
            <w:pPr>
              <w:pStyle w:val="TableParagraph"/>
              <w:rPr>
                <w:b/>
                <w:sz w:val="20"/>
              </w:rPr>
            </w:pPr>
            <w:r>
              <w:rPr>
                <w:b/>
                <w:w w:val="105"/>
                <w:sz w:val="20"/>
              </w:rPr>
              <w:t>Accreditations/Partnerships</w:t>
            </w:r>
          </w:p>
          <w:p w14:paraId="05D158EA" w14:textId="77777777" w:rsidR="00AE0E24" w:rsidRDefault="008246D5">
            <w:pPr>
              <w:pStyle w:val="TableParagraph"/>
              <w:spacing w:before="30"/>
              <w:rPr>
                <w:b/>
                <w:sz w:val="20"/>
              </w:rPr>
            </w:pPr>
            <w:r>
              <w:rPr>
                <w:b/>
                <w:w w:val="105"/>
                <w:sz w:val="20"/>
              </w:rPr>
              <w:t>/Memberships</w:t>
            </w:r>
          </w:p>
        </w:tc>
        <w:tc>
          <w:tcPr>
            <w:tcW w:w="1150" w:type="dxa"/>
            <w:tcBorders>
              <w:left w:val="single" w:sz="8" w:space="0" w:color="000000"/>
              <w:bottom w:val="single" w:sz="8" w:space="0" w:color="000000"/>
              <w:right w:val="single" w:sz="8" w:space="0" w:color="000000"/>
            </w:tcBorders>
          </w:tcPr>
          <w:p w14:paraId="05D158EB" w14:textId="77777777" w:rsidR="00AE0E24" w:rsidRDefault="008246D5">
            <w:pPr>
              <w:pStyle w:val="TableParagraph"/>
              <w:spacing w:line="268" w:lineRule="auto"/>
              <w:ind w:left="96" w:right="112" w:hanging="1"/>
              <w:rPr>
                <w:b/>
                <w:sz w:val="20"/>
              </w:rPr>
            </w:pPr>
            <w:r>
              <w:rPr>
                <w:b/>
                <w:spacing w:val="-3"/>
                <w:w w:val="105"/>
                <w:sz w:val="20"/>
              </w:rPr>
              <w:t xml:space="preserve">Method </w:t>
            </w:r>
            <w:r>
              <w:rPr>
                <w:b/>
                <w:spacing w:val="-2"/>
                <w:w w:val="105"/>
                <w:sz w:val="20"/>
              </w:rPr>
              <w:t>of</w:t>
            </w:r>
            <w:r>
              <w:rPr>
                <w:b/>
                <w:spacing w:val="-45"/>
                <w:w w:val="105"/>
                <w:sz w:val="20"/>
              </w:rPr>
              <w:t xml:space="preserve"> </w:t>
            </w:r>
            <w:r>
              <w:rPr>
                <w:b/>
                <w:w w:val="105"/>
                <w:sz w:val="20"/>
              </w:rPr>
              <w:t>Delivery /</w:t>
            </w:r>
            <w:r>
              <w:rPr>
                <w:b/>
                <w:spacing w:val="1"/>
                <w:w w:val="105"/>
                <w:sz w:val="20"/>
              </w:rPr>
              <w:t xml:space="preserve"> </w:t>
            </w:r>
            <w:r>
              <w:rPr>
                <w:b/>
                <w:w w:val="105"/>
                <w:sz w:val="20"/>
              </w:rPr>
              <w:t>Format</w:t>
            </w:r>
          </w:p>
        </w:tc>
        <w:tc>
          <w:tcPr>
            <w:tcW w:w="1296" w:type="dxa"/>
            <w:tcBorders>
              <w:left w:val="single" w:sz="8" w:space="0" w:color="000000"/>
              <w:bottom w:val="single" w:sz="8" w:space="0" w:color="000000"/>
            </w:tcBorders>
          </w:tcPr>
          <w:p w14:paraId="05D158EC" w14:textId="77777777" w:rsidR="00AE0E24" w:rsidRDefault="008246D5">
            <w:pPr>
              <w:pStyle w:val="TableParagraph"/>
              <w:ind w:left="94"/>
              <w:rPr>
                <w:b/>
                <w:sz w:val="20"/>
              </w:rPr>
            </w:pPr>
            <w:r>
              <w:rPr>
                <w:b/>
                <w:w w:val="105"/>
                <w:sz w:val="20"/>
              </w:rPr>
              <w:t>Duration</w:t>
            </w:r>
          </w:p>
        </w:tc>
      </w:tr>
      <w:tr w:rsidR="00AE0E24" w14:paraId="05D158F3" w14:textId="77777777" w:rsidTr="005E2C1F">
        <w:trPr>
          <w:trHeight w:val="1024"/>
        </w:trPr>
        <w:tc>
          <w:tcPr>
            <w:tcW w:w="1769" w:type="dxa"/>
            <w:tcBorders>
              <w:top w:val="single" w:sz="8" w:space="0" w:color="000000"/>
              <w:right w:val="single" w:sz="8" w:space="0" w:color="000000"/>
            </w:tcBorders>
          </w:tcPr>
          <w:p w14:paraId="05D158EE" w14:textId="56C0D750" w:rsidR="00AE0E24" w:rsidRDefault="008246D5">
            <w:pPr>
              <w:pStyle w:val="TableParagraph"/>
              <w:spacing w:line="268" w:lineRule="auto"/>
              <w:ind w:right="130"/>
              <w:jc w:val="both"/>
              <w:rPr>
                <w:sz w:val="20"/>
              </w:rPr>
            </w:pPr>
            <w:r>
              <w:rPr>
                <w:spacing w:val="-1"/>
                <w:w w:val="105"/>
                <w:sz w:val="20"/>
              </w:rPr>
              <w:t>Refer</w:t>
            </w:r>
            <w:r>
              <w:rPr>
                <w:spacing w:val="-11"/>
                <w:w w:val="105"/>
                <w:sz w:val="20"/>
              </w:rPr>
              <w:t xml:space="preserve"> </w:t>
            </w:r>
            <w:r>
              <w:rPr>
                <w:w w:val="105"/>
                <w:sz w:val="20"/>
              </w:rPr>
              <w:t>to</w:t>
            </w:r>
            <w:r>
              <w:rPr>
                <w:spacing w:val="-9"/>
                <w:w w:val="105"/>
                <w:sz w:val="20"/>
              </w:rPr>
              <w:t xml:space="preserve"> </w:t>
            </w:r>
            <w:r>
              <w:rPr>
                <w:w w:val="105"/>
                <w:sz w:val="20"/>
              </w:rPr>
              <w:t>the</w:t>
            </w:r>
            <w:r>
              <w:rPr>
                <w:spacing w:val="-12"/>
                <w:w w:val="105"/>
                <w:sz w:val="20"/>
              </w:rPr>
              <w:t xml:space="preserve"> </w:t>
            </w:r>
            <w:r>
              <w:rPr>
                <w:w w:val="105"/>
                <w:sz w:val="20"/>
              </w:rPr>
              <w:t>latest</w:t>
            </w:r>
            <w:r>
              <w:rPr>
                <w:spacing w:val="-45"/>
                <w:w w:val="105"/>
                <w:sz w:val="20"/>
              </w:rPr>
              <w:t xml:space="preserve"> </w:t>
            </w:r>
            <w:r>
              <w:rPr>
                <w:spacing w:val="-1"/>
                <w:w w:val="105"/>
                <w:sz w:val="20"/>
              </w:rPr>
              <w:t>advertised events</w:t>
            </w:r>
            <w:r>
              <w:rPr>
                <w:spacing w:val="-45"/>
                <w:w w:val="105"/>
                <w:sz w:val="20"/>
              </w:rPr>
              <w:t xml:space="preserve"> </w:t>
            </w:r>
            <w:r>
              <w:rPr>
                <w:w w:val="105"/>
                <w:sz w:val="20"/>
              </w:rPr>
              <w:t>for</w:t>
            </w:r>
            <w:r>
              <w:rPr>
                <w:spacing w:val="-7"/>
                <w:w w:val="105"/>
                <w:sz w:val="20"/>
              </w:rPr>
              <w:t xml:space="preserve"> </w:t>
            </w:r>
            <w:r>
              <w:rPr>
                <w:w w:val="105"/>
                <w:sz w:val="20"/>
              </w:rPr>
              <w:t>current</w:t>
            </w:r>
            <w:r>
              <w:rPr>
                <w:spacing w:val="-6"/>
                <w:w w:val="105"/>
                <w:sz w:val="20"/>
              </w:rPr>
              <w:t xml:space="preserve"> </w:t>
            </w:r>
            <w:r>
              <w:rPr>
                <w:w w:val="105"/>
                <w:sz w:val="20"/>
              </w:rPr>
              <w:t>rates</w:t>
            </w:r>
            <w:r w:rsidR="00764041">
              <w:rPr>
                <w:w w:val="105"/>
                <w:sz w:val="20"/>
              </w:rPr>
              <w:t xml:space="preserve"> or as quoted</w:t>
            </w:r>
          </w:p>
        </w:tc>
        <w:tc>
          <w:tcPr>
            <w:tcW w:w="1693" w:type="dxa"/>
            <w:tcBorders>
              <w:top w:val="single" w:sz="8" w:space="0" w:color="000000"/>
              <w:left w:val="single" w:sz="8" w:space="0" w:color="000000"/>
              <w:right w:val="single" w:sz="8" w:space="0" w:color="000000"/>
            </w:tcBorders>
          </w:tcPr>
          <w:p w14:paraId="05D158EF" w14:textId="77777777" w:rsidR="00AE0E24" w:rsidRDefault="008246D5">
            <w:pPr>
              <w:pStyle w:val="TableParagraph"/>
              <w:ind w:left="96"/>
              <w:rPr>
                <w:sz w:val="20"/>
              </w:rPr>
            </w:pPr>
            <w:r>
              <w:rPr>
                <w:w w:val="105"/>
                <w:sz w:val="20"/>
              </w:rPr>
              <w:t>12</w:t>
            </w:r>
            <w:r>
              <w:rPr>
                <w:spacing w:val="-8"/>
                <w:w w:val="105"/>
                <w:sz w:val="20"/>
              </w:rPr>
              <w:t xml:space="preserve"> </w:t>
            </w:r>
            <w:r>
              <w:rPr>
                <w:w w:val="105"/>
                <w:sz w:val="20"/>
              </w:rPr>
              <w:t>hours</w:t>
            </w:r>
          </w:p>
        </w:tc>
        <w:tc>
          <w:tcPr>
            <w:tcW w:w="2618" w:type="dxa"/>
            <w:tcBorders>
              <w:top w:val="single" w:sz="8" w:space="0" w:color="000000"/>
              <w:left w:val="single" w:sz="8" w:space="0" w:color="000000"/>
              <w:right w:val="single" w:sz="8" w:space="0" w:color="000000"/>
            </w:tcBorders>
          </w:tcPr>
          <w:p w14:paraId="05D158F0" w14:textId="77777777" w:rsidR="00AE0E24" w:rsidRDefault="008246D5">
            <w:pPr>
              <w:pStyle w:val="TableParagraph"/>
              <w:rPr>
                <w:sz w:val="20"/>
              </w:rPr>
            </w:pPr>
            <w:r>
              <w:rPr>
                <w:w w:val="105"/>
                <w:sz w:val="20"/>
              </w:rPr>
              <w:t>n/a</w:t>
            </w:r>
          </w:p>
        </w:tc>
        <w:tc>
          <w:tcPr>
            <w:tcW w:w="1150" w:type="dxa"/>
            <w:tcBorders>
              <w:top w:val="single" w:sz="8" w:space="0" w:color="000000"/>
              <w:left w:val="single" w:sz="8" w:space="0" w:color="000000"/>
              <w:right w:val="single" w:sz="8" w:space="0" w:color="000000"/>
            </w:tcBorders>
          </w:tcPr>
          <w:p w14:paraId="05D158F1" w14:textId="24272A82" w:rsidR="00AE0E24" w:rsidRDefault="008246D5">
            <w:pPr>
              <w:pStyle w:val="TableParagraph"/>
              <w:spacing w:line="268" w:lineRule="auto"/>
              <w:ind w:left="96" w:right="206" w:hanging="1"/>
              <w:jc w:val="both"/>
              <w:rPr>
                <w:sz w:val="20"/>
              </w:rPr>
            </w:pPr>
            <w:r>
              <w:rPr>
                <w:spacing w:val="-2"/>
                <w:w w:val="105"/>
                <w:sz w:val="20"/>
              </w:rPr>
              <w:t xml:space="preserve">Virtual </w:t>
            </w:r>
            <w:r w:rsidR="00580362">
              <w:rPr>
                <w:spacing w:val="-1"/>
                <w:w w:val="105"/>
                <w:sz w:val="20"/>
              </w:rPr>
              <w:t>via</w:t>
            </w:r>
            <w:r>
              <w:rPr>
                <w:spacing w:val="-45"/>
                <w:w w:val="105"/>
                <w:sz w:val="20"/>
              </w:rPr>
              <w:t xml:space="preserve"> </w:t>
            </w:r>
            <w:r>
              <w:rPr>
                <w:spacing w:val="-1"/>
                <w:w w:val="105"/>
                <w:sz w:val="20"/>
              </w:rPr>
              <w:t>Microsoft</w:t>
            </w:r>
            <w:r>
              <w:rPr>
                <w:spacing w:val="-46"/>
                <w:w w:val="105"/>
                <w:sz w:val="20"/>
              </w:rPr>
              <w:t xml:space="preserve"> </w:t>
            </w:r>
            <w:r>
              <w:rPr>
                <w:w w:val="105"/>
                <w:sz w:val="20"/>
              </w:rPr>
              <w:t>Teams</w:t>
            </w:r>
          </w:p>
        </w:tc>
        <w:tc>
          <w:tcPr>
            <w:tcW w:w="1296" w:type="dxa"/>
            <w:tcBorders>
              <w:top w:val="single" w:sz="8" w:space="0" w:color="000000"/>
              <w:left w:val="single" w:sz="8" w:space="0" w:color="000000"/>
            </w:tcBorders>
          </w:tcPr>
          <w:p w14:paraId="05D158F2" w14:textId="77777777" w:rsidR="00AE0E24" w:rsidRDefault="008246D5">
            <w:pPr>
              <w:pStyle w:val="TableParagraph"/>
              <w:spacing w:line="268" w:lineRule="auto"/>
              <w:ind w:left="94" w:right="96"/>
              <w:rPr>
                <w:sz w:val="20"/>
              </w:rPr>
            </w:pPr>
            <w:r>
              <w:rPr>
                <w:w w:val="105"/>
                <w:sz w:val="20"/>
              </w:rPr>
              <w:t>3 days – 4</w:t>
            </w:r>
            <w:r>
              <w:rPr>
                <w:spacing w:val="1"/>
                <w:w w:val="105"/>
                <w:sz w:val="20"/>
              </w:rPr>
              <w:t xml:space="preserve"> </w:t>
            </w:r>
            <w:proofErr w:type="spellStart"/>
            <w:r>
              <w:rPr>
                <w:spacing w:val="-1"/>
                <w:w w:val="105"/>
                <w:sz w:val="20"/>
              </w:rPr>
              <w:t>hrs</w:t>
            </w:r>
            <w:proofErr w:type="spellEnd"/>
            <w:r>
              <w:rPr>
                <w:spacing w:val="-10"/>
                <w:w w:val="105"/>
                <w:sz w:val="20"/>
              </w:rPr>
              <w:t xml:space="preserve"> </w:t>
            </w:r>
            <w:r>
              <w:rPr>
                <w:spacing w:val="-1"/>
                <w:w w:val="105"/>
                <w:sz w:val="20"/>
              </w:rPr>
              <w:t>per</w:t>
            </w:r>
            <w:r>
              <w:rPr>
                <w:spacing w:val="-9"/>
                <w:w w:val="105"/>
                <w:sz w:val="20"/>
              </w:rPr>
              <w:t xml:space="preserve"> </w:t>
            </w:r>
            <w:r>
              <w:rPr>
                <w:spacing w:val="-1"/>
                <w:w w:val="105"/>
                <w:sz w:val="20"/>
              </w:rPr>
              <w:t>day</w:t>
            </w:r>
          </w:p>
        </w:tc>
      </w:tr>
    </w:tbl>
    <w:p w14:paraId="05D158F6" w14:textId="77777777" w:rsidR="00AE0E24" w:rsidRDefault="00AE0E24">
      <w:pPr>
        <w:pStyle w:val="BodyText"/>
        <w:spacing w:before="10"/>
        <w:rPr>
          <w:b/>
          <w:sz w:val="25"/>
        </w:rPr>
      </w:pPr>
    </w:p>
    <w:p w14:paraId="05D158F8" w14:textId="185FC3A3" w:rsidR="00AE0E24" w:rsidRPr="00347104" w:rsidRDefault="00347104" w:rsidP="00347104">
      <w:pPr>
        <w:pStyle w:val="Heading1"/>
        <w:ind w:left="0"/>
        <w:rPr>
          <w:color w:val="1F497D" w:themeColor="text2"/>
        </w:rPr>
      </w:pPr>
      <w:r>
        <w:rPr>
          <w:color w:val="1F497D" w:themeColor="text2"/>
        </w:rPr>
        <w:t>Course Objective</w:t>
      </w:r>
      <w:r w:rsidR="00401EDD">
        <w:rPr>
          <w:color w:val="1F497D" w:themeColor="text2"/>
        </w:rPr>
        <w:t>s</w:t>
      </w:r>
    </w:p>
    <w:p w14:paraId="75A63136" w14:textId="33A46E37" w:rsidR="001B5610" w:rsidRDefault="00867B9A" w:rsidP="008B5B42">
      <w:pPr>
        <w:pStyle w:val="BodyText"/>
        <w:rPr>
          <w:sz w:val="20"/>
          <w:szCs w:val="20"/>
        </w:rPr>
      </w:pPr>
      <w:r w:rsidRPr="00867B9A">
        <w:rPr>
          <w:sz w:val="20"/>
          <w:szCs w:val="20"/>
        </w:rPr>
        <w:t>Compliance Monitoring forms the final phase in the compliance risk management process. Monitoring closes the loop which completes the compliance cycle, it provides feedback on the effectiveness of the management of compliance risks and identifies areas of weakness that need to be improved or enhanced. It is therefore highly recommended that individuals should have completed the Introduction to Compliance Management and the Compliance Risk Management Plan courses before registering for the Compliance Monitoring course.</w:t>
      </w:r>
    </w:p>
    <w:p w14:paraId="2C2AAF7B" w14:textId="77777777" w:rsidR="004D04EA" w:rsidRDefault="004D04EA" w:rsidP="008B5B42">
      <w:pPr>
        <w:pStyle w:val="BodyText"/>
        <w:rPr>
          <w:sz w:val="20"/>
          <w:szCs w:val="20"/>
        </w:rPr>
      </w:pPr>
    </w:p>
    <w:p w14:paraId="731B3D40" w14:textId="1BF0B30E" w:rsidR="00A72C87" w:rsidRDefault="00A72C87" w:rsidP="008B5B42">
      <w:pPr>
        <w:pStyle w:val="BodyText"/>
        <w:rPr>
          <w:sz w:val="20"/>
          <w:szCs w:val="20"/>
        </w:rPr>
      </w:pPr>
      <w:r>
        <w:rPr>
          <w:sz w:val="20"/>
          <w:szCs w:val="20"/>
        </w:rPr>
        <w:t>After attending the course, attendees will:</w:t>
      </w:r>
    </w:p>
    <w:p w14:paraId="78160077" w14:textId="77777777" w:rsidR="00A72C87" w:rsidRPr="00A72C87" w:rsidRDefault="00A72C87" w:rsidP="00A72C87">
      <w:pPr>
        <w:pStyle w:val="BodyText"/>
        <w:numPr>
          <w:ilvl w:val="0"/>
          <w:numId w:val="11"/>
        </w:numPr>
        <w:rPr>
          <w:rFonts w:eastAsiaTheme="minorHAnsi"/>
          <w:sz w:val="20"/>
          <w:szCs w:val="20"/>
        </w:rPr>
      </w:pPr>
      <w:r w:rsidRPr="00A72C87">
        <w:rPr>
          <w:sz w:val="20"/>
          <w:szCs w:val="20"/>
        </w:rPr>
        <w:t>Understand compliance monitoring best practice and where applicable, legislated requirements.</w:t>
      </w:r>
    </w:p>
    <w:p w14:paraId="7F1CDC19" w14:textId="77777777" w:rsidR="00A72C87" w:rsidRPr="00A72C87" w:rsidRDefault="00A72C87" w:rsidP="00A72C87">
      <w:pPr>
        <w:pStyle w:val="BodyText"/>
        <w:numPr>
          <w:ilvl w:val="0"/>
          <w:numId w:val="11"/>
        </w:numPr>
        <w:rPr>
          <w:sz w:val="20"/>
          <w:szCs w:val="20"/>
        </w:rPr>
      </w:pPr>
      <w:r w:rsidRPr="00A72C87">
        <w:rPr>
          <w:sz w:val="20"/>
          <w:szCs w:val="20"/>
        </w:rPr>
        <w:t>Know how to identify the primary objectives of compliance monitoring.</w:t>
      </w:r>
    </w:p>
    <w:p w14:paraId="1134A97D" w14:textId="77777777" w:rsidR="00A72C87" w:rsidRPr="00A72C87" w:rsidRDefault="00A72C87" w:rsidP="00A72C87">
      <w:pPr>
        <w:pStyle w:val="BodyText"/>
        <w:numPr>
          <w:ilvl w:val="0"/>
          <w:numId w:val="11"/>
        </w:numPr>
        <w:rPr>
          <w:sz w:val="20"/>
          <w:szCs w:val="20"/>
        </w:rPr>
      </w:pPr>
      <w:r w:rsidRPr="00A72C87">
        <w:rPr>
          <w:sz w:val="20"/>
          <w:szCs w:val="20"/>
        </w:rPr>
        <w:t>Understand the form and methods of monitoring and which methods to use in different scenarios.</w:t>
      </w:r>
    </w:p>
    <w:p w14:paraId="2C56E45F" w14:textId="77777777" w:rsidR="00A72C87" w:rsidRPr="00A72C87" w:rsidRDefault="00A72C87" w:rsidP="00A72C87">
      <w:pPr>
        <w:pStyle w:val="BodyText"/>
        <w:numPr>
          <w:ilvl w:val="0"/>
          <w:numId w:val="11"/>
        </w:numPr>
        <w:rPr>
          <w:sz w:val="20"/>
          <w:szCs w:val="20"/>
        </w:rPr>
      </w:pPr>
      <w:r w:rsidRPr="00A72C87">
        <w:rPr>
          <w:sz w:val="20"/>
          <w:szCs w:val="20"/>
        </w:rPr>
        <w:t>Know how to identify the key role-players and their respective monitoring focus areas.</w:t>
      </w:r>
    </w:p>
    <w:p w14:paraId="561A1873" w14:textId="2628A4E0" w:rsidR="00A72C87" w:rsidRPr="00A72C87" w:rsidRDefault="00A72C87" w:rsidP="008B5B42">
      <w:pPr>
        <w:pStyle w:val="BodyText"/>
        <w:numPr>
          <w:ilvl w:val="0"/>
          <w:numId w:val="11"/>
        </w:numPr>
        <w:rPr>
          <w:sz w:val="20"/>
          <w:szCs w:val="20"/>
        </w:rPr>
      </w:pPr>
      <w:r w:rsidRPr="00A72C87">
        <w:rPr>
          <w:sz w:val="20"/>
          <w:szCs w:val="20"/>
        </w:rPr>
        <w:t>Understand the concept of combined assurance and how this may impact on compliance monitoring.</w:t>
      </w:r>
    </w:p>
    <w:p w14:paraId="0C6E54C5" w14:textId="77777777" w:rsidR="00867B9A" w:rsidRPr="008B5B42" w:rsidRDefault="00867B9A" w:rsidP="008B5B42">
      <w:pPr>
        <w:pStyle w:val="BodyText"/>
        <w:rPr>
          <w:b/>
          <w:bCs/>
          <w:sz w:val="20"/>
          <w:szCs w:val="20"/>
        </w:rPr>
      </w:pPr>
    </w:p>
    <w:p w14:paraId="3013A7C2" w14:textId="51B0A39B" w:rsidR="00F5615D" w:rsidRPr="00401EDD" w:rsidRDefault="00401EDD" w:rsidP="00401EDD">
      <w:pPr>
        <w:pStyle w:val="Heading1"/>
        <w:ind w:left="0"/>
        <w:rPr>
          <w:color w:val="1F497D" w:themeColor="text2"/>
        </w:rPr>
      </w:pPr>
      <w:r w:rsidRPr="00401EDD">
        <w:rPr>
          <w:color w:val="1F497D" w:themeColor="text2"/>
        </w:rPr>
        <w:t>Prerequisites</w:t>
      </w:r>
    </w:p>
    <w:p w14:paraId="05314C99" w14:textId="5965AF52" w:rsidR="003A0339" w:rsidRDefault="00F5615D" w:rsidP="005E2C1F">
      <w:pPr>
        <w:pStyle w:val="BodyText"/>
        <w:rPr>
          <w:sz w:val="20"/>
          <w:szCs w:val="20"/>
        </w:rPr>
      </w:pPr>
      <w:r w:rsidRPr="005E2C1F">
        <w:rPr>
          <w:sz w:val="20"/>
          <w:szCs w:val="20"/>
        </w:rPr>
        <w:t xml:space="preserve">We highly recommend that </w:t>
      </w:r>
      <w:r w:rsidR="00867B9A">
        <w:rPr>
          <w:sz w:val="20"/>
          <w:szCs w:val="20"/>
        </w:rPr>
        <w:t>attendees</w:t>
      </w:r>
      <w:r w:rsidR="003A0339">
        <w:rPr>
          <w:sz w:val="20"/>
          <w:szCs w:val="20"/>
        </w:rPr>
        <w:t xml:space="preserve"> </w:t>
      </w:r>
      <w:proofErr w:type="gramStart"/>
      <w:r w:rsidR="003A0339">
        <w:rPr>
          <w:sz w:val="20"/>
          <w:szCs w:val="20"/>
        </w:rPr>
        <w:t>have an understanding of</w:t>
      </w:r>
      <w:proofErr w:type="gramEnd"/>
      <w:r w:rsidR="003A0339">
        <w:rPr>
          <w:sz w:val="20"/>
          <w:szCs w:val="20"/>
        </w:rPr>
        <w:t xml:space="preserve"> the GACP</w:t>
      </w:r>
      <w:r w:rsidR="00B264CF">
        <w:rPr>
          <w:sz w:val="20"/>
          <w:szCs w:val="20"/>
        </w:rPr>
        <w:t xml:space="preserve"> and </w:t>
      </w:r>
      <w:r w:rsidR="005B6559">
        <w:rPr>
          <w:sz w:val="20"/>
          <w:szCs w:val="20"/>
        </w:rPr>
        <w:t>have a</w:t>
      </w:r>
      <w:r w:rsidR="00867B9A">
        <w:rPr>
          <w:sz w:val="20"/>
          <w:szCs w:val="20"/>
        </w:rPr>
        <w:t xml:space="preserve"> foundation</w:t>
      </w:r>
      <w:r w:rsidR="003A0339">
        <w:rPr>
          <w:sz w:val="20"/>
          <w:szCs w:val="20"/>
        </w:rPr>
        <w:t xml:space="preserve">al understanding </w:t>
      </w:r>
      <w:r w:rsidR="005B6559">
        <w:rPr>
          <w:sz w:val="20"/>
          <w:szCs w:val="20"/>
        </w:rPr>
        <w:t xml:space="preserve">of the content of – or attended the following </w:t>
      </w:r>
      <w:r w:rsidR="003A0339">
        <w:rPr>
          <w:sz w:val="20"/>
          <w:szCs w:val="20"/>
        </w:rPr>
        <w:t>course:</w:t>
      </w:r>
    </w:p>
    <w:p w14:paraId="62E9DDFE" w14:textId="77777777" w:rsidR="00C54C6E" w:rsidRDefault="00F5615D" w:rsidP="003F2B9C">
      <w:pPr>
        <w:pStyle w:val="BodyText"/>
        <w:numPr>
          <w:ilvl w:val="0"/>
          <w:numId w:val="7"/>
        </w:numPr>
        <w:rPr>
          <w:sz w:val="20"/>
          <w:szCs w:val="20"/>
        </w:rPr>
      </w:pPr>
      <w:r w:rsidRPr="005E2C1F">
        <w:rPr>
          <w:sz w:val="20"/>
          <w:szCs w:val="20"/>
        </w:rPr>
        <w:t xml:space="preserve">Introduction to compliance </w:t>
      </w:r>
    </w:p>
    <w:p w14:paraId="46205B50" w14:textId="77777777" w:rsidR="003F2B9C" w:rsidRDefault="003F2B9C" w:rsidP="003F2B9C">
      <w:pPr>
        <w:pStyle w:val="BodyText"/>
        <w:numPr>
          <w:ilvl w:val="0"/>
          <w:numId w:val="7"/>
        </w:numPr>
        <w:rPr>
          <w:sz w:val="20"/>
          <w:szCs w:val="20"/>
        </w:rPr>
      </w:pPr>
      <w:r>
        <w:rPr>
          <w:sz w:val="20"/>
          <w:szCs w:val="20"/>
        </w:rPr>
        <w:t>CRMP’s</w:t>
      </w:r>
    </w:p>
    <w:p w14:paraId="0BEF901D" w14:textId="4A7C7B94" w:rsidR="003F2B9C" w:rsidRDefault="003F2B9C" w:rsidP="003F2B9C">
      <w:pPr>
        <w:pStyle w:val="BodyText"/>
        <w:numPr>
          <w:ilvl w:val="0"/>
          <w:numId w:val="7"/>
        </w:numPr>
        <w:rPr>
          <w:sz w:val="20"/>
          <w:szCs w:val="20"/>
        </w:rPr>
      </w:pPr>
      <w:r>
        <w:rPr>
          <w:sz w:val="20"/>
          <w:szCs w:val="20"/>
        </w:rPr>
        <w:t>Control Iden</w:t>
      </w:r>
      <w:r w:rsidR="00A26FC3">
        <w:rPr>
          <w:sz w:val="20"/>
          <w:szCs w:val="20"/>
        </w:rPr>
        <w:t>ti</w:t>
      </w:r>
      <w:r>
        <w:rPr>
          <w:sz w:val="20"/>
          <w:szCs w:val="20"/>
        </w:rPr>
        <w:t>fication and risk assessment</w:t>
      </w:r>
    </w:p>
    <w:p w14:paraId="02B031FE" w14:textId="3799DC35" w:rsidR="00F5615D" w:rsidRPr="005E2C1F" w:rsidRDefault="003F2B9C" w:rsidP="005E2C1F">
      <w:pPr>
        <w:pStyle w:val="BodyText"/>
        <w:rPr>
          <w:b/>
          <w:bCs/>
          <w:color w:val="1F497D" w:themeColor="text2"/>
          <w:sz w:val="22"/>
          <w:szCs w:val="22"/>
        </w:rPr>
      </w:pPr>
      <w:r>
        <w:rPr>
          <w:sz w:val="20"/>
          <w:szCs w:val="20"/>
        </w:rPr>
        <w:t xml:space="preserve"> </w:t>
      </w:r>
      <w:r w:rsidR="00F5615D">
        <w:br/>
      </w:r>
      <w:r w:rsidR="00401EDD" w:rsidRPr="005E2C1F">
        <w:rPr>
          <w:b/>
          <w:bCs/>
          <w:color w:val="1F497D" w:themeColor="text2"/>
          <w:sz w:val="22"/>
          <w:szCs w:val="22"/>
        </w:rPr>
        <w:t>What is covered</w:t>
      </w:r>
      <w:r w:rsidR="009D3FDD">
        <w:rPr>
          <w:b/>
          <w:bCs/>
          <w:color w:val="1F497D" w:themeColor="text2"/>
          <w:sz w:val="22"/>
          <w:szCs w:val="22"/>
        </w:rPr>
        <w:t>?</w:t>
      </w:r>
    </w:p>
    <w:p w14:paraId="3C15578D" w14:textId="77777777" w:rsidR="002D2615" w:rsidRPr="002D2615" w:rsidRDefault="002D2615" w:rsidP="002D2615">
      <w:pPr>
        <w:pStyle w:val="Heading1"/>
        <w:numPr>
          <w:ilvl w:val="0"/>
          <w:numId w:val="12"/>
        </w:numPr>
        <w:rPr>
          <w:b w:val="0"/>
          <w:bCs w:val="0"/>
          <w:sz w:val="20"/>
          <w:szCs w:val="20"/>
        </w:rPr>
      </w:pPr>
      <w:r w:rsidRPr="002D2615">
        <w:rPr>
          <w:b w:val="0"/>
          <w:bCs w:val="0"/>
          <w:sz w:val="20"/>
          <w:szCs w:val="20"/>
        </w:rPr>
        <w:t>Understand compliance monitoring best practice and where applicable, legislated requirements.</w:t>
      </w:r>
    </w:p>
    <w:p w14:paraId="19CC8BA6" w14:textId="77777777" w:rsidR="002D2615" w:rsidRPr="002D2615" w:rsidRDefault="002D2615" w:rsidP="002D2615">
      <w:pPr>
        <w:pStyle w:val="Heading1"/>
        <w:numPr>
          <w:ilvl w:val="0"/>
          <w:numId w:val="12"/>
        </w:numPr>
        <w:rPr>
          <w:b w:val="0"/>
          <w:bCs w:val="0"/>
          <w:sz w:val="20"/>
          <w:szCs w:val="20"/>
        </w:rPr>
      </w:pPr>
      <w:r w:rsidRPr="002D2615">
        <w:rPr>
          <w:b w:val="0"/>
          <w:bCs w:val="0"/>
          <w:sz w:val="20"/>
          <w:szCs w:val="20"/>
        </w:rPr>
        <w:t>Know how to identify the primary objectives of compliance monitoring.</w:t>
      </w:r>
    </w:p>
    <w:p w14:paraId="57162776" w14:textId="77777777" w:rsidR="002D2615" w:rsidRPr="002D2615" w:rsidRDefault="002D2615" w:rsidP="002D2615">
      <w:pPr>
        <w:pStyle w:val="Heading1"/>
        <w:numPr>
          <w:ilvl w:val="0"/>
          <w:numId w:val="12"/>
        </w:numPr>
        <w:rPr>
          <w:b w:val="0"/>
          <w:bCs w:val="0"/>
          <w:sz w:val="20"/>
          <w:szCs w:val="20"/>
        </w:rPr>
      </w:pPr>
      <w:r w:rsidRPr="002D2615">
        <w:rPr>
          <w:b w:val="0"/>
          <w:bCs w:val="0"/>
          <w:sz w:val="20"/>
          <w:szCs w:val="20"/>
        </w:rPr>
        <w:t>Understand the form and methods of monitoring and which methods to use in different scenarios.</w:t>
      </w:r>
    </w:p>
    <w:p w14:paraId="07F4B0A3" w14:textId="77777777" w:rsidR="002D2615" w:rsidRPr="002D2615" w:rsidRDefault="002D2615" w:rsidP="002D2615">
      <w:pPr>
        <w:pStyle w:val="Heading1"/>
        <w:numPr>
          <w:ilvl w:val="0"/>
          <w:numId w:val="12"/>
        </w:numPr>
        <w:rPr>
          <w:b w:val="0"/>
          <w:bCs w:val="0"/>
          <w:sz w:val="20"/>
          <w:szCs w:val="20"/>
        </w:rPr>
      </w:pPr>
      <w:r w:rsidRPr="002D2615">
        <w:rPr>
          <w:b w:val="0"/>
          <w:bCs w:val="0"/>
          <w:sz w:val="20"/>
          <w:szCs w:val="20"/>
        </w:rPr>
        <w:t>Know how to identify the key role-players and their respective monitoring focus areas.</w:t>
      </w:r>
    </w:p>
    <w:p w14:paraId="51291DBA" w14:textId="77777777" w:rsidR="002D2615" w:rsidRPr="002D2615" w:rsidRDefault="002D2615" w:rsidP="002D2615">
      <w:pPr>
        <w:pStyle w:val="Heading1"/>
        <w:numPr>
          <w:ilvl w:val="0"/>
          <w:numId w:val="12"/>
        </w:numPr>
        <w:rPr>
          <w:b w:val="0"/>
          <w:bCs w:val="0"/>
          <w:sz w:val="20"/>
          <w:szCs w:val="20"/>
        </w:rPr>
      </w:pPr>
      <w:r w:rsidRPr="002D2615">
        <w:rPr>
          <w:b w:val="0"/>
          <w:bCs w:val="0"/>
          <w:sz w:val="20"/>
          <w:szCs w:val="20"/>
        </w:rPr>
        <w:t>Understand the concept of combined assurance and how this may impact on compliance monitoring.</w:t>
      </w:r>
    </w:p>
    <w:p w14:paraId="0C0CA22E" w14:textId="77777777" w:rsidR="001419A7" w:rsidRDefault="001419A7" w:rsidP="001419A7">
      <w:pPr>
        <w:pStyle w:val="Heading1"/>
        <w:spacing w:before="0"/>
        <w:ind w:left="0"/>
        <w:rPr>
          <w:b w:val="0"/>
          <w:bCs w:val="0"/>
          <w:sz w:val="19"/>
          <w:szCs w:val="19"/>
        </w:rPr>
      </w:pPr>
    </w:p>
    <w:p w14:paraId="37D68055" w14:textId="77777777" w:rsidR="002D2615" w:rsidRDefault="002D2615" w:rsidP="001419A7">
      <w:pPr>
        <w:pStyle w:val="BodyText"/>
        <w:rPr>
          <w:b/>
          <w:bCs/>
          <w:color w:val="1F497D" w:themeColor="text2"/>
          <w:sz w:val="22"/>
          <w:szCs w:val="22"/>
        </w:rPr>
      </w:pPr>
    </w:p>
    <w:p w14:paraId="71F0560B" w14:textId="77777777" w:rsidR="002D2615" w:rsidRDefault="002D2615" w:rsidP="001419A7">
      <w:pPr>
        <w:pStyle w:val="BodyText"/>
        <w:rPr>
          <w:b/>
          <w:bCs/>
          <w:color w:val="1F497D" w:themeColor="text2"/>
          <w:sz w:val="22"/>
          <w:szCs w:val="22"/>
        </w:rPr>
      </w:pPr>
    </w:p>
    <w:p w14:paraId="6CAE61C3" w14:textId="3B060B68" w:rsidR="001419A7" w:rsidRPr="005E2C1F" w:rsidRDefault="001419A7" w:rsidP="001419A7">
      <w:pPr>
        <w:pStyle w:val="BodyText"/>
        <w:rPr>
          <w:b/>
          <w:bCs/>
          <w:color w:val="1F497D" w:themeColor="text2"/>
          <w:sz w:val="22"/>
          <w:szCs w:val="22"/>
        </w:rPr>
      </w:pPr>
      <w:r>
        <w:rPr>
          <w:b/>
          <w:bCs/>
          <w:color w:val="1F497D" w:themeColor="text2"/>
          <w:sz w:val="22"/>
          <w:szCs w:val="22"/>
        </w:rPr>
        <w:lastRenderedPageBreak/>
        <w:t>Detailed outline</w:t>
      </w:r>
    </w:p>
    <w:p w14:paraId="420D1B3C" w14:textId="77777777" w:rsidR="00F97F6A" w:rsidRPr="00F97F6A" w:rsidRDefault="00F97F6A" w:rsidP="00F97F6A">
      <w:pPr>
        <w:pStyle w:val="Heading1"/>
        <w:ind w:left="0"/>
        <w:rPr>
          <w:b w:val="0"/>
          <w:bCs w:val="0"/>
          <w:sz w:val="20"/>
          <w:szCs w:val="20"/>
        </w:rPr>
      </w:pPr>
      <w:r w:rsidRPr="00F97F6A">
        <w:rPr>
          <w:b w:val="0"/>
          <w:bCs w:val="0"/>
          <w:sz w:val="20"/>
          <w:szCs w:val="20"/>
        </w:rPr>
        <w:t>•</w:t>
      </w:r>
      <w:r w:rsidRPr="00F97F6A">
        <w:rPr>
          <w:b w:val="0"/>
          <w:bCs w:val="0"/>
          <w:sz w:val="20"/>
          <w:szCs w:val="20"/>
        </w:rPr>
        <w:tab/>
        <w:t>The methodology for the monitoring of compliance by regulators</w:t>
      </w:r>
    </w:p>
    <w:p w14:paraId="0BDAAB82" w14:textId="77777777" w:rsidR="00F97F6A" w:rsidRPr="00F97F6A" w:rsidRDefault="00F97F6A" w:rsidP="00F97F6A">
      <w:pPr>
        <w:pStyle w:val="Heading1"/>
        <w:ind w:left="0"/>
        <w:rPr>
          <w:b w:val="0"/>
          <w:bCs w:val="0"/>
          <w:sz w:val="20"/>
          <w:szCs w:val="20"/>
        </w:rPr>
      </w:pPr>
      <w:r w:rsidRPr="00F97F6A">
        <w:rPr>
          <w:b w:val="0"/>
          <w:bCs w:val="0"/>
          <w:sz w:val="20"/>
          <w:szCs w:val="20"/>
        </w:rPr>
        <w:t>•</w:t>
      </w:r>
      <w:r w:rsidRPr="00F97F6A">
        <w:rPr>
          <w:b w:val="0"/>
          <w:bCs w:val="0"/>
          <w:sz w:val="20"/>
          <w:szCs w:val="20"/>
        </w:rPr>
        <w:tab/>
        <w:t>The methodology for compliance monitoring by management</w:t>
      </w:r>
    </w:p>
    <w:p w14:paraId="5EF2647B" w14:textId="77777777" w:rsidR="00F97F6A" w:rsidRPr="00F97F6A" w:rsidRDefault="00F97F6A" w:rsidP="00F97F6A">
      <w:pPr>
        <w:pStyle w:val="Heading1"/>
        <w:ind w:left="0"/>
        <w:rPr>
          <w:b w:val="0"/>
          <w:bCs w:val="0"/>
          <w:sz w:val="20"/>
          <w:szCs w:val="20"/>
        </w:rPr>
      </w:pPr>
      <w:r w:rsidRPr="00F97F6A">
        <w:rPr>
          <w:b w:val="0"/>
          <w:bCs w:val="0"/>
          <w:sz w:val="20"/>
          <w:szCs w:val="20"/>
        </w:rPr>
        <w:t>•</w:t>
      </w:r>
      <w:r w:rsidRPr="00F97F6A">
        <w:rPr>
          <w:b w:val="0"/>
          <w:bCs w:val="0"/>
          <w:sz w:val="20"/>
          <w:szCs w:val="20"/>
        </w:rPr>
        <w:tab/>
        <w:t>The methodology for compliance monitoring by the compliance officer</w:t>
      </w:r>
    </w:p>
    <w:p w14:paraId="14059CC0" w14:textId="77777777" w:rsidR="00F97F6A" w:rsidRPr="00F97F6A" w:rsidRDefault="00F97F6A" w:rsidP="00F97F6A">
      <w:pPr>
        <w:pStyle w:val="Heading1"/>
        <w:ind w:left="0"/>
        <w:rPr>
          <w:b w:val="0"/>
          <w:bCs w:val="0"/>
          <w:sz w:val="20"/>
          <w:szCs w:val="20"/>
        </w:rPr>
      </w:pPr>
      <w:r w:rsidRPr="00F97F6A">
        <w:rPr>
          <w:b w:val="0"/>
          <w:bCs w:val="0"/>
          <w:sz w:val="20"/>
          <w:szCs w:val="20"/>
        </w:rPr>
        <w:t>•</w:t>
      </w:r>
      <w:r w:rsidRPr="00F97F6A">
        <w:rPr>
          <w:b w:val="0"/>
          <w:bCs w:val="0"/>
          <w:sz w:val="20"/>
          <w:szCs w:val="20"/>
        </w:rPr>
        <w:tab/>
        <w:t xml:space="preserve">The starting point of compliance monitoring </w:t>
      </w:r>
    </w:p>
    <w:p w14:paraId="365B31F7" w14:textId="77777777" w:rsidR="00F97F6A" w:rsidRPr="00F97F6A" w:rsidRDefault="00F97F6A" w:rsidP="00F97F6A">
      <w:pPr>
        <w:pStyle w:val="Heading1"/>
        <w:ind w:left="0"/>
        <w:rPr>
          <w:b w:val="0"/>
          <w:bCs w:val="0"/>
          <w:sz w:val="20"/>
          <w:szCs w:val="20"/>
        </w:rPr>
      </w:pPr>
      <w:r w:rsidRPr="00F97F6A">
        <w:rPr>
          <w:b w:val="0"/>
          <w:bCs w:val="0"/>
          <w:sz w:val="20"/>
          <w:szCs w:val="20"/>
        </w:rPr>
        <w:t>•</w:t>
      </w:r>
      <w:r w:rsidRPr="00F97F6A">
        <w:rPr>
          <w:b w:val="0"/>
          <w:bCs w:val="0"/>
          <w:sz w:val="20"/>
          <w:szCs w:val="20"/>
        </w:rPr>
        <w:tab/>
        <w:t>Independent monitoring</w:t>
      </w:r>
    </w:p>
    <w:p w14:paraId="63989DC1" w14:textId="77777777" w:rsidR="00F97F6A" w:rsidRPr="00F97F6A" w:rsidRDefault="00F97F6A" w:rsidP="00F97F6A">
      <w:pPr>
        <w:pStyle w:val="Heading1"/>
        <w:ind w:left="0"/>
        <w:rPr>
          <w:b w:val="0"/>
          <w:bCs w:val="0"/>
          <w:sz w:val="20"/>
          <w:szCs w:val="20"/>
        </w:rPr>
      </w:pPr>
      <w:r w:rsidRPr="00F97F6A">
        <w:rPr>
          <w:b w:val="0"/>
          <w:bCs w:val="0"/>
          <w:sz w:val="20"/>
          <w:szCs w:val="20"/>
        </w:rPr>
        <w:t>•</w:t>
      </w:r>
      <w:r w:rsidRPr="00F97F6A">
        <w:rPr>
          <w:b w:val="0"/>
          <w:bCs w:val="0"/>
          <w:sz w:val="20"/>
          <w:szCs w:val="20"/>
        </w:rPr>
        <w:tab/>
        <w:t>Effectiveness reviews</w:t>
      </w:r>
    </w:p>
    <w:p w14:paraId="70E8EAD3" w14:textId="77777777" w:rsidR="00F97F6A" w:rsidRPr="00F97F6A" w:rsidRDefault="00F97F6A" w:rsidP="00F97F6A">
      <w:pPr>
        <w:pStyle w:val="Heading1"/>
        <w:ind w:left="0"/>
        <w:rPr>
          <w:b w:val="0"/>
          <w:bCs w:val="0"/>
          <w:sz w:val="20"/>
          <w:szCs w:val="20"/>
        </w:rPr>
      </w:pPr>
      <w:r w:rsidRPr="00F97F6A">
        <w:rPr>
          <w:b w:val="0"/>
          <w:bCs w:val="0"/>
          <w:sz w:val="20"/>
          <w:szCs w:val="20"/>
        </w:rPr>
        <w:t>•</w:t>
      </w:r>
      <w:r w:rsidRPr="00F97F6A">
        <w:rPr>
          <w:b w:val="0"/>
          <w:bCs w:val="0"/>
          <w:sz w:val="20"/>
          <w:szCs w:val="20"/>
        </w:rPr>
        <w:tab/>
        <w:t>Materiality Sampling</w:t>
      </w:r>
    </w:p>
    <w:p w14:paraId="32858834" w14:textId="77777777" w:rsidR="00F97F6A" w:rsidRPr="00F97F6A" w:rsidRDefault="00F97F6A" w:rsidP="00F97F6A">
      <w:pPr>
        <w:pStyle w:val="Heading1"/>
        <w:ind w:left="0"/>
        <w:rPr>
          <w:b w:val="0"/>
          <w:bCs w:val="0"/>
          <w:sz w:val="20"/>
          <w:szCs w:val="20"/>
        </w:rPr>
      </w:pPr>
      <w:r w:rsidRPr="00F97F6A">
        <w:rPr>
          <w:b w:val="0"/>
          <w:bCs w:val="0"/>
          <w:sz w:val="20"/>
          <w:szCs w:val="20"/>
        </w:rPr>
        <w:t>•</w:t>
      </w:r>
      <w:r w:rsidRPr="00F97F6A">
        <w:rPr>
          <w:b w:val="0"/>
          <w:bCs w:val="0"/>
          <w:sz w:val="20"/>
          <w:szCs w:val="20"/>
        </w:rPr>
        <w:tab/>
        <w:t>Statistical sampling and non-statistical sampling</w:t>
      </w:r>
    </w:p>
    <w:p w14:paraId="47C70DEE" w14:textId="77777777" w:rsidR="00F97F6A" w:rsidRPr="00F97F6A" w:rsidRDefault="00F97F6A" w:rsidP="00F97F6A">
      <w:pPr>
        <w:pStyle w:val="Heading1"/>
        <w:ind w:left="0"/>
        <w:rPr>
          <w:b w:val="0"/>
          <w:bCs w:val="0"/>
          <w:sz w:val="20"/>
          <w:szCs w:val="20"/>
        </w:rPr>
      </w:pPr>
      <w:r w:rsidRPr="00F97F6A">
        <w:rPr>
          <w:b w:val="0"/>
          <w:bCs w:val="0"/>
          <w:sz w:val="20"/>
          <w:szCs w:val="20"/>
        </w:rPr>
        <w:t>•</w:t>
      </w:r>
      <w:r w:rsidRPr="00F97F6A">
        <w:rPr>
          <w:b w:val="0"/>
          <w:bCs w:val="0"/>
          <w:sz w:val="20"/>
          <w:szCs w:val="20"/>
        </w:rPr>
        <w:tab/>
        <w:t>Working papers</w:t>
      </w:r>
    </w:p>
    <w:p w14:paraId="3A6E3189" w14:textId="77777777" w:rsidR="00F97F6A" w:rsidRPr="00F97F6A" w:rsidRDefault="00F97F6A" w:rsidP="00F97F6A">
      <w:pPr>
        <w:pStyle w:val="Heading1"/>
        <w:ind w:left="0"/>
        <w:rPr>
          <w:b w:val="0"/>
          <w:bCs w:val="0"/>
          <w:sz w:val="20"/>
          <w:szCs w:val="20"/>
        </w:rPr>
      </w:pPr>
      <w:r w:rsidRPr="00F97F6A">
        <w:rPr>
          <w:b w:val="0"/>
          <w:bCs w:val="0"/>
          <w:sz w:val="20"/>
          <w:szCs w:val="20"/>
        </w:rPr>
        <w:t>•</w:t>
      </w:r>
      <w:r w:rsidRPr="00F97F6A">
        <w:rPr>
          <w:b w:val="0"/>
          <w:bCs w:val="0"/>
          <w:sz w:val="20"/>
          <w:szCs w:val="20"/>
        </w:rPr>
        <w:tab/>
        <w:t>The compliance reports</w:t>
      </w:r>
    </w:p>
    <w:p w14:paraId="306F38F3" w14:textId="77777777" w:rsidR="00F97F6A" w:rsidRPr="00F97F6A" w:rsidRDefault="00F97F6A" w:rsidP="00F97F6A">
      <w:pPr>
        <w:pStyle w:val="Heading1"/>
        <w:ind w:left="0"/>
        <w:rPr>
          <w:b w:val="0"/>
          <w:bCs w:val="0"/>
          <w:sz w:val="20"/>
          <w:szCs w:val="20"/>
        </w:rPr>
      </w:pPr>
      <w:r w:rsidRPr="00F97F6A">
        <w:rPr>
          <w:b w:val="0"/>
          <w:bCs w:val="0"/>
          <w:sz w:val="20"/>
          <w:szCs w:val="20"/>
        </w:rPr>
        <w:t>•</w:t>
      </w:r>
      <w:r w:rsidRPr="00F97F6A">
        <w:rPr>
          <w:b w:val="0"/>
          <w:bCs w:val="0"/>
          <w:sz w:val="20"/>
          <w:szCs w:val="20"/>
        </w:rPr>
        <w:tab/>
        <w:t>Recommendations that should be addressed in the compliance report</w:t>
      </w:r>
    </w:p>
    <w:p w14:paraId="35E8967F" w14:textId="77777777" w:rsidR="00F97F6A" w:rsidRPr="00F97F6A" w:rsidRDefault="00F97F6A" w:rsidP="00F97F6A">
      <w:pPr>
        <w:pStyle w:val="Heading1"/>
        <w:ind w:left="0"/>
        <w:rPr>
          <w:b w:val="0"/>
          <w:bCs w:val="0"/>
          <w:sz w:val="20"/>
          <w:szCs w:val="20"/>
        </w:rPr>
      </w:pPr>
      <w:r w:rsidRPr="00F97F6A">
        <w:rPr>
          <w:b w:val="0"/>
          <w:bCs w:val="0"/>
          <w:sz w:val="20"/>
          <w:szCs w:val="20"/>
        </w:rPr>
        <w:t>•</w:t>
      </w:r>
      <w:r w:rsidRPr="00F97F6A">
        <w:rPr>
          <w:b w:val="0"/>
          <w:bCs w:val="0"/>
          <w:sz w:val="20"/>
          <w:szCs w:val="20"/>
        </w:rPr>
        <w:tab/>
        <w:t>The review process and the relevant role players</w:t>
      </w:r>
    </w:p>
    <w:p w14:paraId="36E26645" w14:textId="77777777" w:rsidR="00F97F6A" w:rsidRPr="00F97F6A" w:rsidRDefault="00F97F6A" w:rsidP="00F97F6A">
      <w:pPr>
        <w:pStyle w:val="Heading1"/>
        <w:ind w:left="0"/>
        <w:rPr>
          <w:b w:val="0"/>
          <w:bCs w:val="0"/>
          <w:sz w:val="20"/>
          <w:szCs w:val="20"/>
        </w:rPr>
      </w:pPr>
      <w:r w:rsidRPr="00F97F6A">
        <w:rPr>
          <w:b w:val="0"/>
          <w:bCs w:val="0"/>
          <w:sz w:val="20"/>
          <w:szCs w:val="20"/>
        </w:rPr>
        <w:t>•</w:t>
      </w:r>
      <w:r w:rsidRPr="00F97F6A">
        <w:rPr>
          <w:b w:val="0"/>
          <w:bCs w:val="0"/>
          <w:sz w:val="20"/>
          <w:szCs w:val="20"/>
        </w:rPr>
        <w:tab/>
        <w:t>Issues Log</w:t>
      </w:r>
    </w:p>
    <w:p w14:paraId="6A79E07D" w14:textId="4E349AA1" w:rsidR="001419A7" w:rsidRDefault="00F97F6A" w:rsidP="00F97F6A">
      <w:pPr>
        <w:pStyle w:val="Heading1"/>
        <w:spacing w:before="0"/>
        <w:ind w:left="0"/>
        <w:rPr>
          <w:b w:val="0"/>
          <w:bCs w:val="0"/>
          <w:sz w:val="20"/>
          <w:szCs w:val="20"/>
        </w:rPr>
      </w:pPr>
      <w:r w:rsidRPr="00F97F6A">
        <w:rPr>
          <w:b w:val="0"/>
          <w:bCs w:val="0"/>
          <w:sz w:val="20"/>
          <w:szCs w:val="20"/>
        </w:rPr>
        <w:t>•</w:t>
      </w:r>
      <w:r w:rsidRPr="00F97F6A">
        <w:rPr>
          <w:b w:val="0"/>
          <w:bCs w:val="0"/>
          <w:sz w:val="20"/>
          <w:szCs w:val="20"/>
        </w:rPr>
        <w:tab/>
        <w:t xml:space="preserve">The review process to evaluate the implementation of the Compliance Risk Management Plans </w:t>
      </w:r>
      <w:r>
        <w:rPr>
          <w:b w:val="0"/>
          <w:bCs w:val="0"/>
          <w:sz w:val="20"/>
          <w:szCs w:val="20"/>
        </w:rPr>
        <w:tab/>
      </w:r>
      <w:r w:rsidRPr="00F97F6A">
        <w:rPr>
          <w:b w:val="0"/>
          <w:bCs w:val="0"/>
          <w:sz w:val="20"/>
          <w:szCs w:val="20"/>
        </w:rPr>
        <w:t xml:space="preserve">throughout your </w:t>
      </w:r>
      <w:r>
        <w:rPr>
          <w:b w:val="0"/>
          <w:bCs w:val="0"/>
          <w:sz w:val="20"/>
          <w:szCs w:val="20"/>
        </w:rPr>
        <w:t>organization</w:t>
      </w:r>
    </w:p>
    <w:p w14:paraId="7314B5F7" w14:textId="77777777" w:rsidR="00F97F6A" w:rsidRPr="00F97F6A" w:rsidRDefault="00F97F6A" w:rsidP="00F97F6A">
      <w:pPr>
        <w:pStyle w:val="Heading1"/>
        <w:spacing w:before="0"/>
        <w:ind w:left="0"/>
        <w:rPr>
          <w:b w:val="0"/>
          <w:bCs w:val="0"/>
          <w:sz w:val="19"/>
          <w:szCs w:val="19"/>
        </w:rPr>
      </w:pPr>
    </w:p>
    <w:p w14:paraId="05D15909" w14:textId="182506EF" w:rsidR="00AE0E24" w:rsidRPr="00401EDD" w:rsidRDefault="008246D5" w:rsidP="00401EDD">
      <w:pPr>
        <w:pStyle w:val="Heading1"/>
        <w:ind w:left="0"/>
        <w:rPr>
          <w:color w:val="1F497D" w:themeColor="text2"/>
        </w:rPr>
      </w:pPr>
      <w:r w:rsidRPr="00401EDD">
        <w:rPr>
          <w:color w:val="1F497D" w:themeColor="text2"/>
        </w:rPr>
        <w:t>Format of the course</w:t>
      </w:r>
    </w:p>
    <w:p w14:paraId="05D1590A" w14:textId="77777777" w:rsidR="00AE0E24" w:rsidRPr="008B5B42" w:rsidRDefault="008246D5" w:rsidP="00401EDD">
      <w:pPr>
        <w:pStyle w:val="BodyText"/>
        <w:numPr>
          <w:ilvl w:val="0"/>
          <w:numId w:val="6"/>
        </w:numPr>
        <w:ind w:left="360"/>
        <w:rPr>
          <w:sz w:val="20"/>
          <w:szCs w:val="20"/>
        </w:rPr>
      </w:pPr>
      <w:r w:rsidRPr="008B5B42">
        <w:rPr>
          <w:sz w:val="20"/>
          <w:szCs w:val="20"/>
        </w:rPr>
        <w:t>The</w:t>
      </w:r>
      <w:r w:rsidRPr="008B5B42">
        <w:rPr>
          <w:spacing w:val="-6"/>
          <w:sz w:val="20"/>
          <w:szCs w:val="20"/>
        </w:rPr>
        <w:t xml:space="preserve"> </w:t>
      </w:r>
      <w:r w:rsidRPr="008B5B42">
        <w:rPr>
          <w:sz w:val="20"/>
          <w:szCs w:val="20"/>
        </w:rPr>
        <w:t>training</w:t>
      </w:r>
      <w:r w:rsidRPr="008B5B42">
        <w:rPr>
          <w:spacing w:val="-5"/>
          <w:sz w:val="20"/>
          <w:szCs w:val="20"/>
        </w:rPr>
        <w:t xml:space="preserve"> </w:t>
      </w:r>
      <w:r w:rsidRPr="008B5B42">
        <w:rPr>
          <w:sz w:val="20"/>
          <w:szCs w:val="20"/>
        </w:rPr>
        <w:t>is</w:t>
      </w:r>
      <w:r w:rsidRPr="008B5B42">
        <w:rPr>
          <w:spacing w:val="-8"/>
          <w:sz w:val="20"/>
          <w:szCs w:val="20"/>
        </w:rPr>
        <w:t xml:space="preserve"> </w:t>
      </w:r>
      <w:r w:rsidRPr="008B5B42">
        <w:rPr>
          <w:sz w:val="20"/>
          <w:szCs w:val="20"/>
        </w:rPr>
        <w:t>held</w:t>
      </w:r>
      <w:r w:rsidRPr="008B5B42">
        <w:rPr>
          <w:spacing w:val="-5"/>
          <w:sz w:val="20"/>
          <w:szCs w:val="20"/>
        </w:rPr>
        <w:t xml:space="preserve"> </w:t>
      </w:r>
      <w:r w:rsidRPr="008B5B42">
        <w:rPr>
          <w:sz w:val="20"/>
          <w:szCs w:val="20"/>
        </w:rPr>
        <w:t>in</w:t>
      </w:r>
      <w:r w:rsidRPr="008B5B42">
        <w:rPr>
          <w:spacing w:val="-6"/>
          <w:sz w:val="20"/>
          <w:szCs w:val="20"/>
        </w:rPr>
        <w:t xml:space="preserve"> </w:t>
      </w:r>
      <w:r w:rsidRPr="008B5B42">
        <w:rPr>
          <w:sz w:val="20"/>
          <w:szCs w:val="20"/>
        </w:rPr>
        <w:t>a</w:t>
      </w:r>
      <w:r w:rsidRPr="008B5B42">
        <w:rPr>
          <w:spacing w:val="-8"/>
          <w:sz w:val="20"/>
          <w:szCs w:val="20"/>
        </w:rPr>
        <w:t xml:space="preserve"> </w:t>
      </w:r>
      <w:r w:rsidRPr="008B5B42">
        <w:rPr>
          <w:sz w:val="20"/>
          <w:szCs w:val="20"/>
        </w:rPr>
        <w:t>classroom</w:t>
      </w:r>
      <w:r w:rsidRPr="008B5B42">
        <w:rPr>
          <w:spacing w:val="-5"/>
          <w:sz w:val="20"/>
          <w:szCs w:val="20"/>
        </w:rPr>
        <w:t xml:space="preserve"> </w:t>
      </w:r>
      <w:r w:rsidRPr="008B5B42">
        <w:rPr>
          <w:sz w:val="20"/>
          <w:szCs w:val="20"/>
        </w:rPr>
        <w:t>style,</w:t>
      </w:r>
      <w:r w:rsidRPr="008B5B42">
        <w:rPr>
          <w:spacing w:val="-6"/>
          <w:sz w:val="20"/>
          <w:szCs w:val="20"/>
        </w:rPr>
        <w:t xml:space="preserve"> </w:t>
      </w:r>
      <w:r w:rsidRPr="008B5B42">
        <w:rPr>
          <w:sz w:val="20"/>
          <w:szCs w:val="20"/>
        </w:rPr>
        <w:t>either</w:t>
      </w:r>
      <w:r w:rsidRPr="008B5B42">
        <w:rPr>
          <w:spacing w:val="-7"/>
          <w:sz w:val="20"/>
          <w:szCs w:val="20"/>
        </w:rPr>
        <w:t xml:space="preserve"> </w:t>
      </w:r>
      <w:r w:rsidRPr="008B5B42">
        <w:rPr>
          <w:sz w:val="20"/>
          <w:szCs w:val="20"/>
        </w:rPr>
        <w:t>virtually</w:t>
      </w:r>
      <w:r w:rsidRPr="008B5B42">
        <w:rPr>
          <w:spacing w:val="-6"/>
          <w:sz w:val="20"/>
          <w:szCs w:val="20"/>
        </w:rPr>
        <w:t xml:space="preserve"> </w:t>
      </w:r>
      <w:r w:rsidRPr="008B5B42">
        <w:rPr>
          <w:sz w:val="20"/>
          <w:szCs w:val="20"/>
        </w:rPr>
        <w:t>or</w:t>
      </w:r>
      <w:r w:rsidRPr="008B5B42">
        <w:rPr>
          <w:spacing w:val="-7"/>
          <w:sz w:val="20"/>
          <w:szCs w:val="20"/>
        </w:rPr>
        <w:t xml:space="preserve"> </w:t>
      </w:r>
      <w:r w:rsidRPr="008B5B42">
        <w:rPr>
          <w:sz w:val="20"/>
          <w:szCs w:val="20"/>
        </w:rPr>
        <w:t>face‐to‐face.</w:t>
      </w:r>
    </w:p>
    <w:p w14:paraId="05D1590B" w14:textId="77777777" w:rsidR="00AE0E24" w:rsidRPr="008B5B42" w:rsidRDefault="008246D5" w:rsidP="00401EDD">
      <w:pPr>
        <w:pStyle w:val="BodyText"/>
        <w:numPr>
          <w:ilvl w:val="0"/>
          <w:numId w:val="6"/>
        </w:numPr>
        <w:ind w:left="360"/>
        <w:rPr>
          <w:sz w:val="20"/>
          <w:szCs w:val="20"/>
        </w:rPr>
      </w:pPr>
      <w:r w:rsidRPr="008B5B42">
        <w:rPr>
          <w:spacing w:val="-1"/>
          <w:sz w:val="20"/>
          <w:szCs w:val="20"/>
        </w:rPr>
        <w:t>Theoretical</w:t>
      </w:r>
      <w:r w:rsidRPr="008B5B42">
        <w:rPr>
          <w:spacing w:val="-8"/>
          <w:sz w:val="20"/>
          <w:szCs w:val="20"/>
        </w:rPr>
        <w:t xml:space="preserve"> </w:t>
      </w:r>
      <w:r w:rsidRPr="008B5B42">
        <w:rPr>
          <w:sz w:val="20"/>
          <w:szCs w:val="20"/>
        </w:rPr>
        <w:t>training.</w:t>
      </w:r>
    </w:p>
    <w:p w14:paraId="023E2A54" w14:textId="4AFEEC5D" w:rsidR="005E2C1F" w:rsidRPr="00773C20" w:rsidRDefault="008246D5" w:rsidP="005E2C1F">
      <w:pPr>
        <w:pStyle w:val="BodyText"/>
        <w:numPr>
          <w:ilvl w:val="0"/>
          <w:numId w:val="6"/>
        </w:numPr>
        <w:ind w:left="360"/>
        <w:rPr>
          <w:b/>
          <w:bCs/>
          <w:color w:val="1F497D" w:themeColor="text2"/>
        </w:rPr>
      </w:pPr>
      <w:r w:rsidRPr="005E2C1F">
        <w:rPr>
          <w:sz w:val="20"/>
          <w:szCs w:val="20"/>
        </w:rPr>
        <w:t>Case</w:t>
      </w:r>
      <w:r w:rsidRPr="005E2C1F">
        <w:rPr>
          <w:spacing w:val="-6"/>
          <w:sz w:val="20"/>
          <w:szCs w:val="20"/>
        </w:rPr>
        <w:t xml:space="preserve"> </w:t>
      </w:r>
      <w:r w:rsidRPr="005E2C1F">
        <w:rPr>
          <w:sz w:val="20"/>
          <w:szCs w:val="20"/>
        </w:rPr>
        <w:t>studies</w:t>
      </w:r>
      <w:r w:rsidRPr="005E2C1F">
        <w:rPr>
          <w:spacing w:val="-6"/>
          <w:sz w:val="20"/>
          <w:szCs w:val="20"/>
        </w:rPr>
        <w:t xml:space="preserve"> </w:t>
      </w:r>
      <w:r w:rsidRPr="005E2C1F">
        <w:rPr>
          <w:sz w:val="20"/>
          <w:szCs w:val="20"/>
        </w:rPr>
        <w:t>form</w:t>
      </w:r>
      <w:r w:rsidRPr="005E2C1F">
        <w:rPr>
          <w:spacing w:val="-7"/>
          <w:sz w:val="20"/>
          <w:szCs w:val="20"/>
        </w:rPr>
        <w:t xml:space="preserve"> </w:t>
      </w:r>
      <w:r w:rsidRPr="005E2C1F">
        <w:rPr>
          <w:sz w:val="20"/>
          <w:szCs w:val="20"/>
        </w:rPr>
        <w:t>part</w:t>
      </w:r>
      <w:r w:rsidRPr="005E2C1F">
        <w:rPr>
          <w:spacing w:val="-7"/>
          <w:sz w:val="20"/>
          <w:szCs w:val="20"/>
        </w:rPr>
        <w:t xml:space="preserve"> </w:t>
      </w:r>
      <w:r w:rsidRPr="005E2C1F">
        <w:rPr>
          <w:sz w:val="20"/>
          <w:szCs w:val="20"/>
        </w:rPr>
        <w:t>of</w:t>
      </w:r>
      <w:r w:rsidRPr="005E2C1F">
        <w:rPr>
          <w:spacing w:val="-6"/>
          <w:sz w:val="20"/>
          <w:szCs w:val="20"/>
        </w:rPr>
        <w:t xml:space="preserve"> </w:t>
      </w:r>
      <w:r w:rsidRPr="005E2C1F">
        <w:rPr>
          <w:sz w:val="20"/>
          <w:szCs w:val="20"/>
        </w:rPr>
        <w:t>the</w:t>
      </w:r>
      <w:r w:rsidRPr="005E2C1F">
        <w:rPr>
          <w:spacing w:val="-9"/>
          <w:sz w:val="20"/>
          <w:szCs w:val="20"/>
        </w:rPr>
        <w:t xml:space="preserve"> </w:t>
      </w:r>
      <w:r w:rsidRPr="005E2C1F">
        <w:rPr>
          <w:sz w:val="20"/>
          <w:szCs w:val="20"/>
        </w:rPr>
        <w:t>learning</w:t>
      </w:r>
      <w:r w:rsidRPr="005E2C1F">
        <w:rPr>
          <w:spacing w:val="-7"/>
          <w:sz w:val="20"/>
          <w:szCs w:val="20"/>
        </w:rPr>
        <w:t xml:space="preserve"> </w:t>
      </w:r>
      <w:r w:rsidRPr="005E2C1F">
        <w:rPr>
          <w:sz w:val="20"/>
          <w:szCs w:val="20"/>
        </w:rPr>
        <w:t>process.</w:t>
      </w:r>
    </w:p>
    <w:p w14:paraId="1A13060A" w14:textId="77777777" w:rsidR="00773C20" w:rsidRPr="005E2C1F" w:rsidRDefault="00773C20" w:rsidP="00773C20">
      <w:pPr>
        <w:pStyle w:val="BodyText"/>
        <w:ind w:left="360"/>
        <w:rPr>
          <w:b/>
          <w:bCs/>
          <w:color w:val="1F497D" w:themeColor="text2"/>
        </w:rPr>
      </w:pPr>
    </w:p>
    <w:p w14:paraId="51F0A997" w14:textId="364B4FB9" w:rsidR="00A92960" w:rsidRPr="00401EDD" w:rsidRDefault="00401EDD" w:rsidP="00401EDD">
      <w:pPr>
        <w:pStyle w:val="Heading1"/>
        <w:ind w:left="0"/>
        <w:rPr>
          <w:color w:val="1F497D" w:themeColor="text2"/>
        </w:rPr>
      </w:pPr>
      <w:r w:rsidRPr="00401EDD">
        <w:rPr>
          <w:color w:val="1F497D" w:themeColor="text2"/>
        </w:rPr>
        <w:t xml:space="preserve">Who should </w:t>
      </w:r>
      <w:proofErr w:type="gramStart"/>
      <w:r w:rsidRPr="00401EDD">
        <w:rPr>
          <w:color w:val="1F497D" w:themeColor="text2"/>
        </w:rPr>
        <w:t>attend</w:t>
      </w:r>
      <w:proofErr w:type="gramEnd"/>
    </w:p>
    <w:p w14:paraId="7521F3EF" w14:textId="77777777" w:rsidR="00846995" w:rsidRPr="00846995" w:rsidRDefault="00846995" w:rsidP="00846995">
      <w:pPr>
        <w:pStyle w:val="BodyText"/>
        <w:rPr>
          <w:sz w:val="20"/>
          <w:szCs w:val="20"/>
        </w:rPr>
      </w:pPr>
      <w:r w:rsidRPr="00846995">
        <w:rPr>
          <w:sz w:val="20"/>
          <w:szCs w:val="20"/>
        </w:rPr>
        <w:t>•</w:t>
      </w:r>
      <w:r w:rsidRPr="00846995">
        <w:rPr>
          <w:sz w:val="20"/>
          <w:szCs w:val="20"/>
        </w:rPr>
        <w:tab/>
        <w:t>Compliance officers.</w:t>
      </w:r>
    </w:p>
    <w:p w14:paraId="3297FE41" w14:textId="77777777" w:rsidR="00846995" w:rsidRPr="00846995" w:rsidRDefault="00846995" w:rsidP="00846995">
      <w:pPr>
        <w:pStyle w:val="BodyText"/>
        <w:rPr>
          <w:sz w:val="20"/>
          <w:szCs w:val="20"/>
        </w:rPr>
      </w:pPr>
      <w:r w:rsidRPr="00846995">
        <w:rPr>
          <w:sz w:val="20"/>
          <w:szCs w:val="20"/>
        </w:rPr>
        <w:t>•</w:t>
      </w:r>
      <w:r w:rsidRPr="00846995">
        <w:rPr>
          <w:sz w:val="20"/>
          <w:szCs w:val="20"/>
        </w:rPr>
        <w:tab/>
        <w:t>Individuals in a compliance role tasked with monitoring responsibilities.</w:t>
      </w:r>
    </w:p>
    <w:p w14:paraId="0C01C2C8" w14:textId="77777777" w:rsidR="00846995" w:rsidRPr="00846995" w:rsidRDefault="00846995" w:rsidP="00846995">
      <w:pPr>
        <w:pStyle w:val="BodyText"/>
        <w:rPr>
          <w:sz w:val="20"/>
          <w:szCs w:val="20"/>
        </w:rPr>
      </w:pPr>
      <w:r w:rsidRPr="00846995">
        <w:rPr>
          <w:sz w:val="20"/>
          <w:szCs w:val="20"/>
        </w:rPr>
        <w:t>•</w:t>
      </w:r>
      <w:r w:rsidRPr="00846995">
        <w:rPr>
          <w:sz w:val="20"/>
          <w:szCs w:val="20"/>
        </w:rPr>
        <w:tab/>
        <w:t>Compliance monitoring specialists.</w:t>
      </w:r>
    </w:p>
    <w:p w14:paraId="37D7FD12" w14:textId="305F7F41" w:rsidR="00846995" w:rsidRDefault="00846995" w:rsidP="00846995">
      <w:pPr>
        <w:pStyle w:val="BodyText"/>
        <w:rPr>
          <w:sz w:val="20"/>
          <w:szCs w:val="20"/>
        </w:rPr>
      </w:pPr>
      <w:r w:rsidRPr="00846995">
        <w:rPr>
          <w:sz w:val="20"/>
          <w:szCs w:val="20"/>
        </w:rPr>
        <w:t>•</w:t>
      </w:r>
      <w:r w:rsidRPr="00846995">
        <w:rPr>
          <w:sz w:val="20"/>
          <w:szCs w:val="20"/>
        </w:rPr>
        <w:tab/>
        <w:t>Individuals in an internal audit role.</w:t>
      </w:r>
    </w:p>
    <w:p w14:paraId="07A07B28" w14:textId="77777777" w:rsidR="00846995" w:rsidRPr="008B5B42" w:rsidRDefault="00846995" w:rsidP="00846995">
      <w:pPr>
        <w:pStyle w:val="BodyText"/>
        <w:rPr>
          <w:sz w:val="20"/>
          <w:szCs w:val="20"/>
        </w:rPr>
      </w:pPr>
    </w:p>
    <w:p w14:paraId="4EFF8BCA" w14:textId="77777777" w:rsidR="00663656" w:rsidRDefault="00663656" w:rsidP="00401EDD">
      <w:pPr>
        <w:pStyle w:val="Heading1"/>
        <w:ind w:left="142" w:hanging="142"/>
        <w:rPr>
          <w:rStyle w:val="Strong"/>
          <w:b/>
          <w:bCs/>
          <w:color w:val="1F497D" w:themeColor="text2"/>
        </w:rPr>
      </w:pPr>
      <w:r w:rsidRPr="00401EDD">
        <w:rPr>
          <w:rStyle w:val="Strong"/>
          <w:b/>
          <w:bCs/>
          <w:color w:val="1F497D" w:themeColor="text2"/>
        </w:rPr>
        <w:t xml:space="preserve">Bio of presenter/s:   </w:t>
      </w:r>
    </w:p>
    <w:p w14:paraId="3CA29EBF" w14:textId="69DA38EC" w:rsidR="00663656" w:rsidRDefault="005E2C1F" w:rsidP="005E2C1F">
      <w:pPr>
        <w:pStyle w:val="Heading1"/>
        <w:ind w:left="142" w:hanging="142"/>
      </w:pPr>
      <w:r w:rsidRPr="008B5B42">
        <w:rPr>
          <w:noProof/>
          <w:sz w:val="20"/>
          <w:szCs w:val="20"/>
        </w:rPr>
        <w:drawing>
          <wp:anchor distT="0" distB="0" distL="114300" distR="114300" simplePos="0" relativeHeight="251659264" behindDoc="0" locked="0" layoutInCell="1" allowOverlap="1" wp14:anchorId="7DF95609" wp14:editId="403154CD">
            <wp:simplePos x="0" y="0"/>
            <wp:positionH relativeFrom="column">
              <wp:posOffset>-2540</wp:posOffset>
            </wp:positionH>
            <wp:positionV relativeFrom="paragraph">
              <wp:posOffset>59690</wp:posOffset>
            </wp:positionV>
            <wp:extent cx="1181510" cy="886460"/>
            <wp:effectExtent l="0" t="0" r="0" b="8890"/>
            <wp:wrapSquare wrapText="bothSides"/>
            <wp:docPr id="3" name="Picture 3"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miling for the camera&#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1510" cy="886460"/>
                    </a:xfrm>
                    <a:prstGeom prst="rect">
                      <a:avLst/>
                    </a:prstGeom>
                  </pic:spPr>
                </pic:pic>
              </a:graphicData>
            </a:graphic>
          </wp:anchor>
        </w:drawing>
      </w:r>
      <w:r w:rsidR="00663656">
        <w:t>Daryl Glass</w:t>
      </w:r>
    </w:p>
    <w:p w14:paraId="248FDFCA" w14:textId="77777777" w:rsidR="005E2C1F" w:rsidRPr="00574ADA" w:rsidRDefault="005E2C1F" w:rsidP="005E2C1F">
      <w:pPr>
        <w:pStyle w:val="Heading1"/>
        <w:ind w:left="142" w:hanging="142"/>
        <w:rPr>
          <w:b w:val="0"/>
          <w:bCs w:val="0"/>
        </w:rPr>
      </w:pPr>
    </w:p>
    <w:p w14:paraId="580A0C4C" w14:textId="72CCBD60" w:rsidR="005C15D6" w:rsidRPr="002D2615" w:rsidRDefault="00663656" w:rsidP="00401EDD">
      <w:pPr>
        <w:pStyle w:val="BodyText"/>
        <w:rPr>
          <w:sz w:val="20"/>
          <w:szCs w:val="20"/>
        </w:rPr>
      </w:pPr>
      <w:r w:rsidRPr="002D2615">
        <w:rPr>
          <w:sz w:val="20"/>
          <w:szCs w:val="20"/>
        </w:rPr>
        <w:t>Daryl worked at the Liberty Group between 1992 and 2007 and served in various capacities including as Head of Forensic Services and Head of Group Compliance and Group Compliance Officer for all entities within the Group</w:t>
      </w:r>
      <w:r w:rsidR="005C15D6" w:rsidRPr="002D2615">
        <w:rPr>
          <w:sz w:val="20"/>
          <w:szCs w:val="20"/>
        </w:rPr>
        <w:t xml:space="preserve">. </w:t>
      </w:r>
    </w:p>
    <w:p w14:paraId="0E06BC6E" w14:textId="77777777" w:rsidR="005C15D6" w:rsidRPr="002D2615" w:rsidRDefault="005C15D6" w:rsidP="00401EDD">
      <w:pPr>
        <w:pStyle w:val="BodyText"/>
        <w:rPr>
          <w:sz w:val="20"/>
          <w:szCs w:val="20"/>
        </w:rPr>
      </w:pPr>
    </w:p>
    <w:p w14:paraId="3D080C22" w14:textId="1486AF7B" w:rsidR="00663656" w:rsidRPr="002D2615" w:rsidRDefault="00663656" w:rsidP="00401EDD">
      <w:pPr>
        <w:pStyle w:val="BodyText"/>
        <w:rPr>
          <w:sz w:val="20"/>
          <w:szCs w:val="20"/>
        </w:rPr>
      </w:pPr>
      <w:r w:rsidRPr="002D2615">
        <w:rPr>
          <w:sz w:val="20"/>
          <w:szCs w:val="20"/>
        </w:rPr>
        <w:t xml:space="preserve">Since 2007, Daryl has run a business consultancy practice whose </w:t>
      </w:r>
      <w:proofErr w:type="gramStart"/>
      <w:r w:rsidRPr="002D2615">
        <w:rPr>
          <w:sz w:val="20"/>
          <w:szCs w:val="20"/>
        </w:rPr>
        <w:t>main focus</w:t>
      </w:r>
      <w:proofErr w:type="gramEnd"/>
      <w:r w:rsidRPr="002D2615">
        <w:rPr>
          <w:sz w:val="20"/>
          <w:szCs w:val="20"/>
        </w:rPr>
        <w:t xml:space="preserve"> is on Governance, Risk, Compliance and Forensic services. He has provided services to a broad range of South African and international clients within both the private and private sectors across various industries. Daryl’s focus is to equip and enable </w:t>
      </w:r>
      <w:proofErr w:type="spellStart"/>
      <w:r w:rsidRPr="002D2615">
        <w:rPr>
          <w:sz w:val="20"/>
          <w:szCs w:val="20"/>
        </w:rPr>
        <w:t>organisations</w:t>
      </w:r>
      <w:proofErr w:type="spellEnd"/>
      <w:r w:rsidRPr="002D2615">
        <w:rPr>
          <w:sz w:val="20"/>
          <w:szCs w:val="20"/>
        </w:rPr>
        <w:t xml:space="preserve">, their governing bodies and management to </w:t>
      </w:r>
      <w:proofErr w:type="gramStart"/>
      <w:r w:rsidRPr="002D2615">
        <w:rPr>
          <w:sz w:val="20"/>
          <w:szCs w:val="20"/>
        </w:rPr>
        <w:t>efficiently and effectively manage all forms of risk and meet relevant leading practice requirements</w:t>
      </w:r>
      <w:proofErr w:type="gramEnd"/>
      <w:r w:rsidRPr="002D2615">
        <w:rPr>
          <w:sz w:val="20"/>
          <w:szCs w:val="20"/>
        </w:rPr>
        <w:t xml:space="preserve">. He led the development of the Public Sector Compliance Framework as a consultant to </w:t>
      </w:r>
      <w:proofErr w:type="gramStart"/>
      <w:r w:rsidRPr="002D2615">
        <w:rPr>
          <w:sz w:val="20"/>
          <w:szCs w:val="20"/>
        </w:rPr>
        <w:t>National</w:t>
      </w:r>
      <w:proofErr w:type="gramEnd"/>
      <w:r w:rsidRPr="002D2615">
        <w:rPr>
          <w:sz w:val="20"/>
          <w:szCs w:val="20"/>
        </w:rPr>
        <w:t xml:space="preserve"> Treasury.</w:t>
      </w:r>
    </w:p>
    <w:p w14:paraId="49D2319C" w14:textId="77777777" w:rsidR="00401EDD" w:rsidRPr="002D2615" w:rsidRDefault="00401EDD" w:rsidP="00401EDD">
      <w:pPr>
        <w:pStyle w:val="BodyText"/>
        <w:rPr>
          <w:sz w:val="20"/>
          <w:szCs w:val="20"/>
        </w:rPr>
      </w:pPr>
    </w:p>
    <w:p w14:paraId="78C64DD0" w14:textId="77777777" w:rsidR="00663656" w:rsidRPr="002D2615" w:rsidRDefault="00663656" w:rsidP="00401EDD">
      <w:pPr>
        <w:pStyle w:val="BodyText"/>
        <w:rPr>
          <w:sz w:val="20"/>
          <w:szCs w:val="20"/>
        </w:rPr>
      </w:pPr>
      <w:r w:rsidRPr="002D2615">
        <w:rPr>
          <w:sz w:val="20"/>
          <w:szCs w:val="20"/>
        </w:rPr>
        <w:t xml:space="preserve">Daryl participates extensively in the development and delivery of the core compliance training </w:t>
      </w:r>
      <w:proofErr w:type="spellStart"/>
      <w:r w:rsidRPr="002D2615">
        <w:rPr>
          <w:sz w:val="20"/>
          <w:szCs w:val="20"/>
        </w:rPr>
        <w:t>programmes</w:t>
      </w:r>
      <w:proofErr w:type="spellEnd"/>
      <w:r w:rsidRPr="002D2615">
        <w:rPr>
          <w:sz w:val="20"/>
          <w:szCs w:val="20"/>
        </w:rPr>
        <w:t xml:space="preserve"> of the Compliance Institute of Southern Africa </w:t>
      </w:r>
      <w:proofErr w:type="gramStart"/>
      <w:r w:rsidRPr="002D2615">
        <w:rPr>
          <w:sz w:val="20"/>
          <w:szCs w:val="20"/>
        </w:rPr>
        <w:t>and also</w:t>
      </w:r>
      <w:proofErr w:type="gramEnd"/>
      <w:r w:rsidRPr="002D2615">
        <w:rPr>
          <w:sz w:val="20"/>
          <w:szCs w:val="20"/>
        </w:rPr>
        <w:t xml:space="preserve"> previously served as a Director of the Institute between 1999 and 2006. Daryl has and does serve in various capacities on or as an advisor to the boards of several other </w:t>
      </w:r>
      <w:proofErr w:type="spellStart"/>
      <w:r w:rsidRPr="002D2615">
        <w:rPr>
          <w:sz w:val="20"/>
          <w:szCs w:val="20"/>
        </w:rPr>
        <w:t>organisations</w:t>
      </w:r>
      <w:proofErr w:type="spellEnd"/>
      <w:r w:rsidRPr="002D2615">
        <w:rPr>
          <w:sz w:val="20"/>
          <w:szCs w:val="20"/>
        </w:rPr>
        <w:t>.</w:t>
      </w:r>
    </w:p>
    <w:p w14:paraId="0C2C11FB" w14:textId="77777777" w:rsidR="00401EDD" w:rsidRPr="002D2615" w:rsidRDefault="00401EDD" w:rsidP="00401EDD">
      <w:pPr>
        <w:pStyle w:val="BodyText"/>
        <w:rPr>
          <w:sz w:val="20"/>
          <w:szCs w:val="20"/>
        </w:rPr>
      </w:pPr>
    </w:p>
    <w:p w14:paraId="6AA4201E" w14:textId="77777777" w:rsidR="00663656" w:rsidRPr="002D2615" w:rsidRDefault="00663656" w:rsidP="00401EDD">
      <w:pPr>
        <w:pStyle w:val="BodyText"/>
        <w:rPr>
          <w:sz w:val="20"/>
          <w:szCs w:val="20"/>
        </w:rPr>
      </w:pPr>
      <w:r w:rsidRPr="002D2615">
        <w:rPr>
          <w:sz w:val="20"/>
          <w:szCs w:val="20"/>
        </w:rPr>
        <w:t xml:space="preserve">Daryl holds the </w:t>
      </w:r>
      <w:proofErr w:type="spellStart"/>
      <w:r w:rsidRPr="002D2615">
        <w:rPr>
          <w:sz w:val="20"/>
          <w:szCs w:val="20"/>
        </w:rPr>
        <w:t>CProf</w:t>
      </w:r>
      <w:proofErr w:type="spellEnd"/>
      <w:r w:rsidRPr="002D2615">
        <w:rPr>
          <w:sz w:val="20"/>
          <w:szCs w:val="20"/>
        </w:rPr>
        <w:t xml:space="preserve"> (SA) designation and has a </w:t>
      </w:r>
      <w:proofErr w:type="spellStart"/>
      <w:r w:rsidRPr="002D2615">
        <w:rPr>
          <w:sz w:val="20"/>
          <w:szCs w:val="20"/>
        </w:rPr>
        <w:t>BCompt</w:t>
      </w:r>
      <w:proofErr w:type="spellEnd"/>
      <w:r w:rsidRPr="002D2615">
        <w:rPr>
          <w:sz w:val="20"/>
          <w:szCs w:val="20"/>
        </w:rPr>
        <w:t xml:space="preserve">, MBA and Post-graduate diploma in Compliance Management. </w:t>
      </w:r>
    </w:p>
    <w:p w14:paraId="35710CF8" w14:textId="77777777" w:rsidR="00663656" w:rsidRPr="002D2615" w:rsidRDefault="00663656" w:rsidP="00401EDD">
      <w:pPr>
        <w:pStyle w:val="BodyText"/>
        <w:rPr>
          <w:sz w:val="20"/>
          <w:szCs w:val="20"/>
        </w:rPr>
      </w:pPr>
    </w:p>
    <w:p w14:paraId="4D0B596A" w14:textId="77777777" w:rsidR="00663656" w:rsidRPr="002D2615" w:rsidRDefault="00663656" w:rsidP="00663656">
      <w:pPr>
        <w:rPr>
          <w:sz w:val="20"/>
          <w:szCs w:val="20"/>
        </w:rPr>
      </w:pPr>
    </w:p>
    <w:p w14:paraId="477210BF" w14:textId="77777777" w:rsidR="00663656" w:rsidRPr="002D2615" w:rsidRDefault="00663656" w:rsidP="00663656">
      <w:pPr>
        <w:spacing w:before="100" w:beforeAutospacing="1" w:after="100" w:afterAutospacing="1"/>
        <w:rPr>
          <w:rFonts w:cstheme="minorHAnsi"/>
          <w:sz w:val="20"/>
          <w:szCs w:val="20"/>
        </w:rPr>
      </w:pPr>
      <w:r w:rsidRPr="002D2615">
        <w:rPr>
          <w:rFonts w:eastAsia="Times New Roman" w:cstheme="minorHAnsi"/>
          <w:color w:val="000000"/>
          <w:sz w:val="20"/>
          <w:szCs w:val="20"/>
          <w:lang w:eastAsia="en-ZA"/>
        </w:rPr>
        <w:t> </w:t>
      </w:r>
    </w:p>
    <w:p w14:paraId="597740D8" w14:textId="77777777" w:rsidR="00663656" w:rsidRDefault="00663656" w:rsidP="001A5797">
      <w:pPr>
        <w:spacing w:before="35" w:line="1098" w:lineRule="exact"/>
        <w:ind w:left="3084" w:right="2832"/>
        <w:jc w:val="center"/>
        <w:rPr>
          <w:rFonts w:ascii="Arial"/>
          <w:sz w:val="15"/>
        </w:rPr>
      </w:pPr>
    </w:p>
    <w:sectPr w:rsidR="00663656">
      <w:footerReference w:type="default" r:id="rId13"/>
      <w:pgSz w:w="12240" w:h="15840"/>
      <w:pgMar w:top="960" w:right="1700" w:bottom="280" w:left="1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DBC58" w14:textId="77777777" w:rsidR="005E2C1F" w:rsidRDefault="005E2C1F" w:rsidP="005E2C1F">
      <w:r>
        <w:separator/>
      </w:r>
    </w:p>
  </w:endnote>
  <w:endnote w:type="continuationSeparator" w:id="0">
    <w:p w14:paraId="1C8C8508" w14:textId="77777777" w:rsidR="005E2C1F" w:rsidRDefault="005E2C1F" w:rsidP="005E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268764"/>
      <w:docPartObj>
        <w:docPartGallery w:val="Page Numbers (Bottom of Page)"/>
        <w:docPartUnique/>
      </w:docPartObj>
    </w:sdtPr>
    <w:sdtEndPr>
      <w:rPr>
        <w:noProof/>
      </w:rPr>
    </w:sdtEndPr>
    <w:sdtContent>
      <w:p w14:paraId="28EF27A9" w14:textId="14E0050E" w:rsidR="005E2C1F" w:rsidRDefault="005E2C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3CC3FE" w14:textId="77777777" w:rsidR="005E2C1F" w:rsidRDefault="005E2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FE729" w14:textId="77777777" w:rsidR="005E2C1F" w:rsidRDefault="005E2C1F" w:rsidP="005E2C1F">
      <w:r>
        <w:separator/>
      </w:r>
    </w:p>
  </w:footnote>
  <w:footnote w:type="continuationSeparator" w:id="0">
    <w:p w14:paraId="1A636F56" w14:textId="77777777" w:rsidR="005E2C1F" w:rsidRDefault="005E2C1F" w:rsidP="005E2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1CBC"/>
    <w:multiLevelType w:val="hybridMultilevel"/>
    <w:tmpl w:val="0C4AEEF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1A462E2F"/>
    <w:multiLevelType w:val="hybridMultilevel"/>
    <w:tmpl w:val="0C22DA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C6B18BE"/>
    <w:multiLevelType w:val="hybridMultilevel"/>
    <w:tmpl w:val="F1E0CCC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3D547F80"/>
    <w:multiLevelType w:val="multilevel"/>
    <w:tmpl w:val="4FD0470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4A2825A4"/>
    <w:multiLevelType w:val="hybridMultilevel"/>
    <w:tmpl w:val="9056B5D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4B4B2EBA"/>
    <w:multiLevelType w:val="hybridMultilevel"/>
    <w:tmpl w:val="C254C5E0"/>
    <w:lvl w:ilvl="0" w:tplc="B3183C5C">
      <w:numFmt w:val="bullet"/>
      <w:lvlText w:val=""/>
      <w:lvlJc w:val="left"/>
      <w:pPr>
        <w:ind w:left="494" w:hanging="339"/>
      </w:pPr>
      <w:rPr>
        <w:rFonts w:ascii="Symbol" w:eastAsia="Symbol" w:hAnsi="Symbol" w:cs="Symbol" w:hint="default"/>
        <w:b w:val="0"/>
        <w:bCs w:val="0"/>
        <w:i w:val="0"/>
        <w:iCs w:val="0"/>
        <w:w w:val="99"/>
        <w:sz w:val="19"/>
        <w:szCs w:val="19"/>
      </w:rPr>
    </w:lvl>
    <w:lvl w:ilvl="1" w:tplc="FA6ED9E8">
      <w:numFmt w:val="bullet"/>
      <w:lvlText w:val="•"/>
      <w:lvlJc w:val="left"/>
      <w:pPr>
        <w:ind w:left="1332" w:hanging="339"/>
      </w:pPr>
      <w:rPr>
        <w:rFonts w:hint="default"/>
      </w:rPr>
    </w:lvl>
    <w:lvl w:ilvl="2" w:tplc="50540120">
      <w:numFmt w:val="bullet"/>
      <w:lvlText w:val="•"/>
      <w:lvlJc w:val="left"/>
      <w:pPr>
        <w:ind w:left="2164" w:hanging="339"/>
      </w:pPr>
      <w:rPr>
        <w:rFonts w:hint="default"/>
      </w:rPr>
    </w:lvl>
    <w:lvl w:ilvl="3" w:tplc="976EC772">
      <w:numFmt w:val="bullet"/>
      <w:lvlText w:val="•"/>
      <w:lvlJc w:val="left"/>
      <w:pPr>
        <w:ind w:left="2996" w:hanging="339"/>
      </w:pPr>
      <w:rPr>
        <w:rFonts w:hint="default"/>
      </w:rPr>
    </w:lvl>
    <w:lvl w:ilvl="4" w:tplc="1522FE82">
      <w:numFmt w:val="bullet"/>
      <w:lvlText w:val="•"/>
      <w:lvlJc w:val="left"/>
      <w:pPr>
        <w:ind w:left="3828" w:hanging="339"/>
      </w:pPr>
      <w:rPr>
        <w:rFonts w:hint="default"/>
      </w:rPr>
    </w:lvl>
    <w:lvl w:ilvl="5" w:tplc="5C70C866">
      <w:numFmt w:val="bullet"/>
      <w:lvlText w:val="•"/>
      <w:lvlJc w:val="left"/>
      <w:pPr>
        <w:ind w:left="4660" w:hanging="339"/>
      </w:pPr>
      <w:rPr>
        <w:rFonts w:hint="default"/>
      </w:rPr>
    </w:lvl>
    <w:lvl w:ilvl="6" w:tplc="A7B8DB1C">
      <w:numFmt w:val="bullet"/>
      <w:lvlText w:val="•"/>
      <w:lvlJc w:val="left"/>
      <w:pPr>
        <w:ind w:left="5492" w:hanging="339"/>
      </w:pPr>
      <w:rPr>
        <w:rFonts w:hint="default"/>
      </w:rPr>
    </w:lvl>
    <w:lvl w:ilvl="7" w:tplc="659A2A0E">
      <w:numFmt w:val="bullet"/>
      <w:lvlText w:val="•"/>
      <w:lvlJc w:val="left"/>
      <w:pPr>
        <w:ind w:left="6324" w:hanging="339"/>
      </w:pPr>
      <w:rPr>
        <w:rFonts w:hint="default"/>
      </w:rPr>
    </w:lvl>
    <w:lvl w:ilvl="8" w:tplc="D81A1640">
      <w:numFmt w:val="bullet"/>
      <w:lvlText w:val="•"/>
      <w:lvlJc w:val="left"/>
      <w:pPr>
        <w:ind w:left="7156" w:hanging="339"/>
      </w:pPr>
      <w:rPr>
        <w:rFonts w:hint="default"/>
      </w:rPr>
    </w:lvl>
  </w:abstractNum>
  <w:abstractNum w:abstractNumId="6" w15:restartNumberingAfterBreak="0">
    <w:nsid w:val="50A91D4E"/>
    <w:multiLevelType w:val="hybridMultilevel"/>
    <w:tmpl w:val="F238E920"/>
    <w:lvl w:ilvl="0" w:tplc="249E149E">
      <w:numFmt w:val="bullet"/>
      <w:lvlText w:val="•"/>
      <w:lvlJc w:val="left"/>
      <w:pPr>
        <w:ind w:left="291" w:hanging="136"/>
      </w:pPr>
      <w:rPr>
        <w:rFonts w:ascii="Calibri" w:eastAsia="Calibri" w:hAnsi="Calibri" w:cs="Calibri" w:hint="default"/>
        <w:b w:val="0"/>
        <w:bCs w:val="0"/>
        <w:i w:val="0"/>
        <w:iCs w:val="0"/>
        <w:w w:val="99"/>
        <w:sz w:val="19"/>
        <w:szCs w:val="19"/>
      </w:rPr>
    </w:lvl>
    <w:lvl w:ilvl="1" w:tplc="3C2E2906">
      <w:numFmt w:val="bullet"/>
      <w:lvlText w:val="•"/>
      <w:lvlJc w:val="left"/>
      <w:pPr>
        <w:ind w:left="1152" w:hanging="136"/>
      </w:pPr>
      <w:rPr>
        <w:rFonts w:hint="default"/>
      </w:rPr>
    </w:lvl>
    <w:lvl w:ilvl="2" w:tplc="2A9C2EE8">
      <w:numFmt w:val="bullet"/>
      <w:lvlText w:val="•"/>
      <w:lvlJc w:val="left"/>
      <w:pPr>
        <w:ind w:left="2004" w:hanging="136"/>
      </w:pPr>
      <w:rPr>
        <w:rFonts w:hint="default"/>
      </w:rPr>
    </w:lvl>
    <w:lvl w:ilvl="3" w:tplc="FFC609A2">
      <w:numFmt w:val="bullet"/>
      <w:lvlText w:val="•"/>
      <w:lvlJc w:val="left"/>
      <w:pPr>
        <w:ind w:left="2856" w:hanging="136"/>
      </w:pPr>
      <w:rPr>
        <w:rFonts w:hint="default"/>
      </w:rPr>
    </w:lvl>
    <w:lvl w:ilvl="4" w:tplc="F6EA3346">
      <w:numFmt w:val="bullet"/>
      <w:lvlText w:val="•"/>
      <w:lvlJc w:val="left"/>
      <w:pPr>
        <w:ind w:left="3708" w:hanging="136"/>
      </w:pPr>
      <w:rPr>
        <w:rFonts w:hint="default"/>
      </w:rPr>
    </w:lvl>
    <w:lvl w:ilvl="5" w:tplc="922E5142">
      <w:numFmt w:val="bullet"/>
      <w:lvlText w:val="•"/>
      <w:lvlJc w:val="left"/>
      <w:pPr>
        <w:ind w:left="4560" w:hanging="136"/>
      </w:pPr>
      <w:rPr>
        <w:rFonts w:hint="default"/>
      </w:rPr>
    </w:lvl>
    <w:lvl w:ilvl="6" w:tplc="BA98D3B6">
      <w:numFmt w:val="bullet"/>
      <w:lvlText w:val="•"/>
      <w:lvlJc w:val="left"/>
      <w:pPr>
        <w:ind w:left="5412" w:hanging="136"/>
      </w:pPr>
      <w:rPr>
        <w:rFonts w:hint="default"/>
      </w:rPr>
    </w:lvl>
    <w:lvl w:ilvl="7" w:tplc="9ED2552A">
      <w:numFmt w:val="bullet"/>
      <w:lvlText w:val="•"/>
      <w:lvlJc w:val="left"/>
      <w:pPr>
        <w:ind w:left="6264" w:hanging="136"/>
      </w:pPr>
      <w:rPr>
        <w:rFonts w:hint="default"/>
      </w:rPr>
    </w:lvl>
    <w:lvl w:ilvl="8" w:tplc="96D045BE">
      <w:numFmt w:val="bullet"/>
      <w:lvlText w:val="•"/>
      <w:lvlJc w:val="left"/>
      <w:pPr>
        <w:ind w:left="7116" w:hanging="136"/>
      </w:pPr>
      <w:rPr>
        <w:rFonts w:hint="default"/>
      </w:rPr>
    </w:lvl>
  </w:abstractNum>
  <w:abstractNum w:abstractNumId="7" w15:restartNumberingAfterBreak="0">
    <w:nsid w:val="54AE5CF6"/>
    <w:multiLevelType w:val="hybridMultilevel"/>
    <w:tmpl w:val="0DBC51B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55DF1231"/>
    <w:multiLevelType w:val="multilevel"/>
    <w:tmpl w:val="D3EE117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569E20D8"/>
    <w:multiLevelType w:val="hybridMultilevel"/>
    <w:tmpl w:val="53EA9A0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15:restartNumberingAfterBreak="0">
    <w:nsid w:val="57A23B97"/>
    <w:multiLevelType w:val="multilevel"/>
    <w:tmpl w:val="95963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B6422E"/>
    <w:multiLevelType w:val="hybridMultilevel"/>
    <w:tmpl w:val="4EE4F91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152258980">
    <w:abstractNumId w:val="5"/>
  </w:num>
  <w:num w:numId="2" w16cid:durableId="134640931">
    <w:abstractNumId w:val="6"/>
  </w:num>
  <w:num w:numId="3" w16cid:durableId="709034476">
    <w:abstractNumId w:val="3"/>
  </w:num>
  <w:num w:numId="4" w16cid:durableId="1751852566">
    <w:abstractNumId w:val="8"/>
  </w:num>
  <w:num w:numId="5" w16cid:durableId="803040231">
    <w:abstractNumId w:val="7"/>
  </w:num>
  <w:num w:numId="6" w16cid:durableId="158039462">
    <w:abstractNumId w:val="1"/>
  </w:num>
  <w:num w:numId="7" w16cid:durableId="697583558">
    <w:abstractNumId w:val="4"/>
  </w:num>
  <w:num w:numId="8" w16cid:durableId="1125928293">
    <w:abstractNumId w:val="9"/>
  </w:num>
  <w:num w:numId="9" w16cid:durableId="1102997837">
    <w:abstractNumId w:val="11"/>
  </w:num>
  <w:num w:numId="10" w16cid:durableId="700201875">
    <w:abstractNumId w:val="10"/>
    <w:lvlOverride w:ilvl="0"/>
    <w:lvlOverride w:ilvl="1"/>
    <w:lvlOverride w:ilvl="2"/>
    <w:lvlOverride w:ilvl="3"/>
    <w:lvlOverride w:ilvl="4"/>
    <w:lvlOverride w:ilvl="5"/>
    <w:lvlOverride w:ilvl="6"/>
    <w:lvlOverride w:ilvl="7"/>
    <w:lvlOverride w:ilvl="8"/>
  </w:num>
  <w:num w:numId="11" w16cid:durableId="599030325">
    <w:abstractNumId w:val="0"/>
  </w:num>
  <w:num w:numId="12" w16cid:durableId="13883371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E24"/>
    <w:rsid w:val="001419A7"/>
    <w:rsid w:val="00143F29"/>
    <w:rsid w:val="001A5797"/>
    <w:rsid w:val="001B5610"/>
    <w:rsid w:val="00232B91"/>
    <w:rsid w:val="00236716"/>
    <w:rsid w:val="00253064"/>
    <w:rsid w:val="00267647"/>
    <w:rsid w:val="002B6BEF"/>
    <w:rsid w:val="002D2615"/>
    <w:rsid w:val="00347104"/>
    <w:rsid w:val="003A0339"/>
    <w:rsid w:val="003F2B9C"/>
    <w:rsid w:val="00401EDD"/>
    <w:rsid w:val="004D04EA"/>
    <w:rsid w:val="005104A6"/>
    <w:rsid w:val="00547CF2"/>
    <w:rsid w:val="005772BF"/>
    <w:rsid w:val="00580362"/>
    <w:rsid w:val="005B6559"/>
    <w:rsid w:val="005C15D6"/>
    <w:rsid w:val="005E2C1F"/>
    <w:rsid w:val="00657AE1"/>
    <w:rsid w:val="00663656"/>
    <w:rsid w:val="006D1255"/>
    <w:rsid w:val="007071E4"/>
    <w:rsid w:val="00764041"/>
    <w:rsid w:val="00773C20"/>
    <w:rsid w:val="008246D5"/>
    <w:rsid w:val="00846995"/>
    <w:rsid w:val="00867B9A"/>
    <w:rsid w:val="008B5B42"/>
    <w:rsid w:val="008E324A"/>
    <w:rsid w:val="009D3FDD"/>
    <w:rsid w:val="00A26FC3"/>
    <w:rsid w:val="00A72C87"/>
    <w:rsid w:val="00A92960"/>
    <w:rsid w:val="00AB006C"/>
    <w:rsid w:val="00AE0E24"/>
    <w:rsid w:val="00B264CF"/>
    <w:rsid w:val="00C46D01"/>
    <w:rsid w:val="00C521F4"/>
    <w:rsid w:val="00C54C6E"/>
    <w:rsid w:val="00C73D91"/>
    <w:rsid w:val="00CF579C"/>
    <w:rsid w:val="00D66D3E"/>
    <w:rsid w:val="00E37FD9"/>
    <w:rsid w:val="00EB52F2"/>
    <w:rsid w:val="00F5615D"/>
    <w:rsid w:val="00F97F6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158E2"/>
  <w15:docId w15:val="{BD78DB64-6F52-4145-9150-5FD5B2EB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15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494" w:hanging="339"/>
    </w:pPr>
  </w:style>
  <w:style w:type="paragraph" w:customStyle="1" w:styleId="TableParagraph">
    <w:name w:val="Table Paragraph"/>
    <w:basedOn w:val="Normal"/>
    <w:uiPriority w:val="1"/>
    <w:qFormat/>
    <w:pPr>
      <w:spacing w:before="6"/>
      <w:ind w:left="95"/>
    </w:pPr>
  </w:style>
  <w:style w:type="paragraph" w:styleId="NormalWeb">
    <w:name w:val="Normal (Web)"/>
    <w:basedOn w:val="Normal"/>
    <w:uiPriority w:val="99"/>
    <w:unhideWhenUsed/>
    <w:rsid w:val="00A92960"/>
    <w:pPr>
      <w:widowControl/>
      <w:autoSpaceDE/>
      <w:autoSpaceDN/>
      <w:spacing w:before="100" w:beforeAutospacing="1" w:after="100" w:afterAutospacing="1"/>
    </w:pPr>
    <w:rPr>
      <w:rFonts w:eastAsiaTheme="minorHAnsi"/>
      <w:lang w:val="en-ZA" w:eastAsia="en-ZA"/>
    </w:rPr>
  </w:style>
  <w:style w:type="character" w:styleId="Strong">
    <w:name w:val="Strong"/>
    <w:basedOn w:val="DefaultParagraphFont"/>
    <w:uiPriority w:val="22"/>
    <w:qFormat/>
    <w:rsid w:val="00A92960"/>
    <w:rPr>
      <w:b/>
      <w:bCs/>
    </w:rPr>
  </w:style>
  <w:style w:type="paragraph" w:styleId="NoSpacing">
    <w:name w:val="No Spacing"/>
    <w:uiPriority w:val="1"/>
    <w:qFormat/>
    <w:rsid w:val="00347104"/>
    <w:rPr>
      <w:rFonts w:ascii="Calibri" w:eastAsia="Calibri" w:hAnsi="Calibri" w:cs="Calibri"/>
    </w:rPr>
  </w:style>
  <w:style w:type="paragraph" w:styleId="Title">
    <w:name w:val="Title"/>
    <w:basedOn w:val="Normal"/>
    <w:next w:val="Normal"/>
    <w:link w:val="TitleChar"/>
    <w:uiPriority w:val="10"/>
    <w:qFormat/>
    <w:rsid w:val="00401ED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1ED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E2C1F"/>
    <w:pPr>
      <w:tabs>
        <w:tab w:val="center" w:pos="4513"/>
        <w:tab w:val="right" w:pos="9026"/>
      </w:tabs>
    </w:pPr>
  </w:style>
  <w:style w:type="character" w:customStyle="1" w:styleId="HeaderChar">
    <w:name w:val="Header Char"/>
    <w:basedOn w:val="DefaultParagraphFont"/>
    <w:link w:val="Header"/>
    <w:uiPriority w:val="99"/>
    <w:rsid w:val="005E2C1F"/>
    <w:rPr>
      <w:rFonts w:ascii="Calibri" w:eastAsia="Calibri" w:hAnsi="Calibri" w:cs="Calibri"/>
    </w:rPr>
  </w:style>
  <w:style w:type="paragraph" w:styleId="Footer">
    <w:name w:val="footer"/>
    <w:basedOn w:val="Normal"/>
    <w:link w:val="FooterChar"/>
    <w:uiPriority w:val="99"/>
    <w:unhideWhenUsed/>
    <w:rsid w:val="005E2C1F"/>
    <w:pPr>
      <w:tabs>
        <w:tab w:val="center" w:pos="4513"/>
        <w:tab w:val="right" w:pos="9026"/>
      </w:tabs>
    </w:pPr>
  </w:style>
  <w:style w:type="character" w:customStyle="1" w:styleId="FooterChar">
    <w:name w:val="Footer Char"/>
    <w:basedOn w:val="DefaultParagraphFont"/>
    <w:link w:val="Footer"/>
    <w:uiPriority w:val="99"/>
    <w:rsid w:val="005E2C1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277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1fbcce-88bc-4afb-959d-ea1ae9da5e98">
      <Terms xmlns="http://schemas.microsoft.com/office/infopath/2007/PartnerControls"/>
    </lcf76f155ced4ddcb4097134ff3c332f>
    <TaxCatchAll xmlns="e80f935d-77f4-4d94-9a10-78f96c082d1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E3BFD40662CBD4D90DEFB96023EC545" ma:contentTypeVersion="16" ma:contentTypeDescription="Create a new document." ma:contentTypeScope="" ma:versionID="53969ae21f766cc72b867949cf6cfda2">
  <xsd:schema xmlns:xsd="http://www.w3.org/2001/XMLSchema" xmlns:xs="http://www.w3.org/2001/XMLSchema" xmlns:p="http://schemas.microsoft.com/office/2006/metadata/properties" xmlns:ns2="e80f935d-77f4-4d94-9a10-78f96c082d18" xmlns:ns3="da1fbcce-88bc-4afb-959d-ea1ae9da5e98" targetNamespace="http://schemas.microsoft.com/office/2006/metadata/properties" ma:root="true" ma:fieldsID="477dcba11f56423d335f720c7cc57ee0" ns2:_="" ns3:_="">
    <xsd:import namespace="e80f935d-77f4-4d94-9a10-78f96c082d18"/>
    <xsd:import namespace="da1fbcce-88bc-4afb-959d-ea1ae9da5e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f935d-77f4-4d94-9a10-78f96c082d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8d454f-95db-45c3-8a2d-6d8d39f407b2}" ma:internalName="TaxCatchAll" ma:showField="CatchAllData" ma:web="e80f935d-77f4-4d94-9a10-78f96c082d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1fbcce-88bc-4afb-959d-ea1ae9da5e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8dfb2b-6930-4ad7-9932-ed136ba1466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E19B75-4CE1-4505-A2B3-77CF59DFCC2A}">
  <ds:schemaRefs>
    <ds:schemaRef ds:uri="http://schemas.microsoft.com/sharepoint/v3/contenttype/forms"/>
  </ds:schemaRefs>
</ds:datastoreItem>
</file>

<file path=customXml/itemProps2.xml><?xml version="1.0" encoding="utf-8"?>
<ds:datastoreItem xmlns:ds="http://schemas.openxmlformats.org/officeDocument/2006/customXml" ds:itemID="{B4AFE1AB-92DD-427F-BB5D-5E46C637098F}">
  <ds:schemaRefs>
    <ds:schemaRef ds:uri="http://schemas.microsoft.com/office/2006/metadata/properties"/>
    <ds:schemaRef ds:uri="http://schemas.microsoft.com/office/infopath/2007/PartnerControls"/>
    <ds:schemaRef ds:uri="da1fbcce-88bc-4afb-959d-ea1ae9da5e98"/>
    <ds:schemaRef ds:uri="e80f935d-77f4-4d94-9a10-78f96c082d18"/>
  </ds:schemaRefs>
</ds:datastoreItem>
</file>

<file path=customXml/itemProps3.xml><?xml version="1.0" encoding="utf-8"?>
<ds:datastoreItem xmlns:ds="http://schemas.openxmlformats.org/officeDocument/2006/customXml" ds:itemID="{1E3E20C7-D437-44C6-B927-2487AEC3E340}">
  <ds:schemaRefs>
    <ds:schemaRef ds:uri="http://schemas.openxmlformats.org/officeDocument/2006/bibliography"/>
  </ds:schemaRefs>
</ds:datastoreItem>
</file>

<file path=customXml/itemProps4.xml><?xml version="1.0" encoding="utf-8"?>
<ds:datastoreItem xmlns:ds="http://schemas.openxmlformats.org/officeDocument/2006/customXml" ds:itemID="{FB9BEADC-645F-4EBB-9993-8D25D6936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0f935d-77f4-4d94-9a10-78f96c082d18"/>
    <ds:schemaRef ds:uri="da1fbcce-88bc-4afb-959d-ea1ae9da5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3758</Characters>
  <Application>Microsoft Office Word</Application>
  <DocSecurity>0</DocSecurity>
  <Lines>31</Lines>
  <Paragraphs>8</Paragraphs>
  <ScaleCrop>false</ScaleCrop>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CI SA - CRMP course outline</dc:title>
  <dc:creator>Thokozani</dc:creator>
  <cp:lastModifiedBy>Marianna Scott</cp:lastModifiedBy>
  <cp:revision>2</cp:revision>
  <dcterms:created xsi:type="dcterms:W3CDTF">2023-06-27T12:58:00Z</dcterms:created>
  <dcterms:modified xsi:type="dcterms:W3CDTF">2023-06-27T12:58:00Z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2022-02-21T00:00:00Z</vt:filetime>
  </property>
  <property fmtid="{D5CDD505-2E9C-101B-9397-08002B2CF9AE}" pid="3" name="Creator">
    <vt:lpwstr>PScript5.dll Version 5.2.2</vt:lpwstr>
  </property>
  <property fmtid="{D5CDD505-2E9C-101B-9397-08002B2CF9AE}" pid="4" name="LastSaved">
    <vt:filetime>2022-02-28T00:00:00Z</vt:filetime>
  </property>
  <property fmtid="{D5CDD505-2E9C-101B-9397-08002B2CF9AE}" pid="5" name="ContentTypeId">
    <vt:lpwstr>0x010100BE3BFD40662CBD4D90DEFB96023EC545</vt:lpwstr>
  </property>
  <property fmtid="{D5CDD505-2E9C-101B-9397-08002B2CF9AE}" pid="6" name="MediaServiceImageTags">
    <vt:lpwstr/>
  </property>
</Properties>
</file>