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58E2" w14:textId="77777777" w:rsidR="00AE0E24" w:rsidRDefault="008246D5">
      <w:pPr>
        <w:pStyle w:val="BodyText"/>
        <w:ind w:left="3076"/>
        <w:rPr>
          <w:rFonts w:ascii="Times New Roman"/>
          <w:sz w:val="20"/>
        </w:rPr>
      </w:pPr>
      <w:r>
        <w:rPr>
          <w:rFonts w:ascii="Times New Roman"/>
          <w:noProof/>
          <w:sz w:val="20"/>
        </w:rPr>
        <w:drawing>
          <wp:inline distT="0" distB="0" distL="0" distR="0" wp14:anchorId="05D15912" wp14:editId="05D15913">
            <wp:extent cx="1692018"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92018" cy="1303020"/>
                    </a:xfrm>
                    <a:prstGeom prst="rect">
                      <a:avLst/>
                    </a:prstGeom>
                  </pic:spPr>
                </pic:pic>
              </a:graphicData>
            </a:graphic>
          </wp:inline>
        </w:drawing>
      </w:r>
    </w:p>
    <w:p w14:paraId="05D158E3" w14:textId="77777777" w:rsidR="00AE0E24" w:rsidRDefault="00AE0E24">
      <w:pPr>
        <w:pStyle w:val="BodyText"/>
        <w:spacing w:before="4"/>
        <w:rPr>
          <w:rFonts w:ascii="Times New Roman"/>
          <w:sz w:val="22"/>
        </w:rPr>
      </w:pPr>
    </w:p>
    <w:p w14:paraId="05D158E4" w14:textId="458005B0" w:rsidR="00AE0E24" w:rsidRDefault="008704E9" w:rsidP="00E37FD9">
      <w:pPr>
        <w:pStyle w:val="Heading1"/>
        <w:spacing w:before="0"/>
        <w:ind w:left="715"/>
        <w:jc w:val="center"/>
        <w:rPr>
          <w:color w:val="1F497D" w:themeColor="text2"/>
          <w:spacing w:val="72"/>
        </w:rPr>
      </w:pPr>
      <w:r>
        <w:rPr>
          <w:color w:val="1F497D" w:themeColor="text2"/>
          <w:spacing w:val="72"/>
        </w:rPr>
        <w:t xml:space="preserve">INTRODUCTION TO </w:t>
      </w:r>
      <w:r w:rsidR="004E0D65">
        <w:rPr>
          <w:color w:val="1F497D" w:themeColor="text2"/>
          <w:spacing w:val="72"/>
        </w:rPr>
        <w:t>COMBINED ASSURANCE</w:t>
      </w:r>
    </w:p>
    <w:p w14:paraId="1E741F3C" w14:textId="227B9BB5" w:rsidR="002B6BEF" w:rsidRPr="00E37FD9" w:rsidRDefault="002B6BEF" w:rsidP="00E37FD9">
      <w:pPr>
        <w:pStyle w:val="Heading1"/>
        <w:spacing w:before="0"/>
        <w:ind w:left="715"/>
        <w:jc w:val="center"/>
        <w:rPr>
          <w:color w:val="1F497D" w:themeColor="text2"/>
          <w:spacing w:val="72"/>
        </w:rPr>
      </w:pPr>
      <w:r>
        <w:rPr>
          <w:color w:val="1F497D" w:themeColor="text2"/>
          <w:spacing w:val="72"/>
        </w:rPr>
        <w:t>Training outline</w:t>
      </w:r>
    </w:p>
    <w:p w14:paraId="05D158E5" w14:textId="7386CE9A" w:rsidR="00AE0E24" w:rsidRDefault="00EB52F2">
      <w:pPr>
        <w:pStyle w:val="Heading1"/>
        <w:spacing w:before="0" w:line="266" w:lineRule="exact"/>
      </w:pPr>
      <w:r>
        <w:t xml:space="preserve"> </w:t>
      </w:r>
    </w:p>
    <w:p w14:paraId="05D158E6" w14:textId="77777777" w:rsidR="00AE0E24" w:rsidRDefault="00AE0E24">
      <w:pPr>
        <w:pStyle w:val="BodyText"/>
        <w:spacing w:before="9"/>
        <w:rPr>
          <w:b/>
          <w:sz w:val="21"/>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1693"/>
        <w:gridCol w:w="2618"/>
        <w:gridCol w:w="1150"/>
        <w:gridCol w:w="1296"/>
      </w:tblGrid>
      <w:tr w:rsidR="00AE0E24" w14:paraId="05D158ED" w14:textId="77777777">
        <w:trPr>
          <w:trHeight w:val="967"/>
        </w:trPr>
        <w:tc>
          <w:tcPr>
            <w:tcW w:w="1769" w:type="dxa"/>
            <w:tcBorders>
              <w:bottom w:val="single" w:sz="8" w:space="0" w:color="000000"/>
              <w:right w:val="single" w:sz="8" w:space="0" w:color="000000"/>
            </w:tcBorders>
          </w:tcPr>
          <w:p w14:paraId="05D158E7" w14:textId="77777777" w:rsidR="00AE0E24" w:rsidRDefault="008246D5">
            <w:pPr>
              <w:pStyle w:val="TableParagraph"/>
              <w:spacing w:line="268" w:lineRule="auto"/>
              <w:ind w:right="292"/>
              <w:rPr>
                <w:b/>
                <w:sz w:val="20"/>
              </w:rPr>
            </w:pPr>
            <w:r>
              <w:rPr>
                <w:b/>
                <w:spacing w:val="-1"/>
                <w:w w:val="105"/>
                <w:sz w:val="20"/>
              </w:rPr>
              <w:t>Cost</w:t>
            </w:r>
            <w:r>
              <w:rPr>
                <w:b/>
                <w:spacing w:val="-11"/>
                <w:w w:val="105"/>
                <w:sz w:val="20"/>
              </w:rPr>
              <w:t xml:space="preserve"> </w:t>
            </w:r>
            <w:r>
              <w:rPr>
                <w:b/>
                <w:w w:val="105"/>
                <w:sz w:val="20"/>
              </w:rPr>
              <w:t>per</w:t>
            </w:r>
            <w:r>
              <w:rPr>
                <w:b/>
                <w:spacing w:val="-10"/>
                <w:w w:val="105"/>
                <w:sz w:val="20"/>
              </w:rPr>
              <w:t xml:space="preserve"> </w:t>
            </w:r>
            <w:r>
              <w:rPr>
                <w:b/>
                <w:w w:val="105"/>
                <w:sz w:val="20"/>
              </w:rPr>
              <w:t>person</w:t>
            </w:r>
            <w:r>
              <w:rPr>
                <w:b/>
                <w:spacing w:val="-45"/>
                <w:w w:val="105"/>
                <w:sz w:val="20"/>
              </w:rPr>
              <w:t xml:space="preserve"> </w:t>
            </w:r>
            <w:r>
              <w:rPr>
                <w:b/>
                <w:w w:val="105"/>
                <w:sz w:val="20"/>
              </w:rPr>
              <w:t>Incl.</w:t>
            </w:r>
            <w:r>
              <w:rPr>
                <w:b/>
                <w:spacing w:val="-3"/>
                <w:w w:val="105"/>
                <w:sz w:val="20"/>
              </w:rPr>
              <w:t xml:space="preserve"> </w:t>
            </w:r>
            <w:r>
              <w:rPr>
                <w:b/>
                <w:w w:val="105"/>
                <w:sz w:val="20"/>
              </w:rPr>
              <w:t>vat</w:t>
            </w:r>
          </w:p>
        </w:tc>
        <w:tc>
          <w:tcPr>
            <w:tcW w:w="1693" w:type="dxa"/>
            <w:tcBorders>
              <w:left w:val="single" w:sz="8" w:space="0" w:color="000000"/>
              <w:bottom w:val="single" w:sz="8" w:space="0" w:color="000000"/>
              <w:right w:val="single" w:sz="8" w:space="0" w:color="000000"/>
            </w:tcBorders>
          </w:tcPr>
          <w:p w14:paraId="05D158E8" w14:textId="77777777" w:rsidR="00AE0E24" w:rsidRDefault="008246D5">
            <w:pPr>
              <w:pStyle w:val="TableParagraph"/>
              <w:spacing w:line="268" w:lineRule="auto"/>
              <w:ind w:left="96" w:right="258" w:hanging="1"/>
              <w:rPr>
                <w:b/>
                <w:sz w:val="20"/>
              </w:rPr>
            </w:pPr>
            <w:r>
              <w:rPr>
                <w:b/>
                <w:spacing w:val="-1"/>
                <w:w w:val="105"/>
                <w:sz w:val="20"/>
              </w:rPr>
              <w:t>CPD</w:t>
            </w:r>
            <w:r>
              <w:rPr>
                <w:b/>
                <w:spacing w:val="-11"/>
                <w:w w:val="105"/>
                <w:sz w:val="20"/>
              </w:rPr>
              <w:t xml:space="preserve"> </w:t>
            </w:r>
            <w:r>
              <w:rPr>
                <w:b/>
                <w:w w:val="105"/>
                <w:sz w:val="20"/>
              </w:rPr>
              <w:t>Points</w:t>
            </w:r>
            <w:r>
              <w:rPr>
                <w:b/>
                <w:spacing w:val="-11"/>
                <w:w w:val="105"/>
                <w:sz w:val="20"/>
              </w:rPr>
              <w:t xml:space="preserve"> </w:t>
            </w:r>
            <w:r>
              <w:rPr>
                <w:b/>
                <w:w w:val="105"/>
                <w:sz w:val="20"/>
              </w:rPr>
              <w:t>and</w:t>
            </w:r>
            <w:r>
              <w:rPr>
                <w:b/>
                <w:spacing w:val="-44"/>
                <w:w w:val="105"/>
                <w:sz w:val="20"/>
              </w:rPr>
              <w:t xml:space="preserve"> </w:t>
            </w:r>
            <w:r>
              <w:rPr>
                <w:b/>
                <w:w w:val="105"/>
                <w:sz w:val="20"/>
              </w:rPr>
              <w:t>Accreditation</w:t>
            </w:r>
          </w:p>
        </w:tc>
        <w:tc>
          <w:tcPr>
            <w:tcW w:w="2618" w:type="dxa"/>
            <w:tcBorders>
              <w:left w:val="single" w:sz="8" w:space="0" w:color="000000"/>
              <w:bottom w:val="single" w:sz="8" w:space="0" w:color="000000"/>
              <w:right w:val="single" w:sz="8" w:space="0" w:color="000000"/>
            </w:tcBorders>
          </w:tcPr>
          <w:p w14:paraId="05D158E9" w14:textId="77777777" w:rsidR="00AE0E24" w:rsidRDefault="008246D5">
            <w:pPr>
              <w:pStyle w:val="TableParagraph"/>
              <w:rPr>
                <w:b/>
                <w:sz w:val="20"/>
              </w:rPr>
            </w:pPr>
            <w:r>
              <w:rPr>
                <w:b/>
                <w:w w:val="105"/>
                <w:sz w:val="20"/>
              </w:rPr>
              <w:t>Accreditations/Partnerships</w:t>
            </w:r>
          </w:p>
          <w:p w14:paraId="05D158EA" w14:textId="77777777" w:rsidR="00AE0E24" w:rsidRDefault="008246D5">
            <w:pPr>
              <w:pStyle w:val="TableParagraph"/>
              <w:spacing w:before="30"/>
              <w:rPr>
                <w:b/>
                <w:sz w:val="20"/>
              </w:rPr>
            </w:pPr>
            <w:r>
              <w:rPr>
                <w:b/>
                <w:w w:val="105"/>
                <w:sz w:val="20"/>
              </w:rPr>
              <w:t>/Memberships</w:t>
            </w:r>
          </w:p>
        </w:tc>
        <w:tc>
          <w:tcPr>
            <w:tcW w:w="1150" w:type="dxa"/>
            <w:tcBorders>
              <w:left w:val="single" w:sz="8" w:space="0" w:color="000000"/>
              <w:bottom w:val="single" w:sz="8" w:space="0" w:color="000000"/>
              <w:right w:val="single" w:sz="8" w:space="0" w:color="000000"/>
            </w:tcBorders>
          </w:tcPr>
          <w:p w14:paraId="05D158EB" w14:textId="77777777" w:rsidR="00AE0E24" w:rsidRDefault="008246D5">
            <w:pPr>
              <w:pStyle w:val="TableParagraph"/>
              <w:spacing w:line="268" w:lineRule="auto"/>
              <w:ind w:left="96" w:right="112" w:hanging="1"/>
              <w:rPr>
                <w:b/>
                <w:sz w:val="20"/>
              </w:rPr>
            </w:pPr>
            <w:r>
              <w:rPr>
                <w:b/>
                <w:spacing w:val="-3"/>
                <w:w w:val="105"/>
                <w:sz w:val="20"/>
              </w:rPr>
              <w:t xml:space="preserve">Method </w:t>
            </w:r>
            <w:r>
              <w:rPr>
                <w:b/>
                <w:spacing w:val="-2"/>
                <w:w w:val="105"/>
                <w:sz w:val="20"/>
              </w:rPr>
              <w:t>of</w:t>
            </w:r>
            <w:r>
              <w:rPr>
                <w:b/>
                <w:spacing w:val="-45"/>
                <w:w w:val="105"/>
                <w:sz w:val="20"/>
              </w:rPr>
              <w:t xml:space="preserve"> </w:t>
            </w:r>
            <w:r>
              <w:rPr>
                <w:b/>
                <w:w w:val="105"/>
                <w:sz w:val="20"/>
              </w:rPr>
              <w:t>Delivery /</w:t>
            </w:r>
            <w:r>
              <w:rPr>
                <w:b/>
                <w:spacing w:val="1"/>
                <w:w w:val="105"/>
                <w:sz w:val="20"/>
              </w:rPr>
              <w:t xml:space="preserve"> </w:t>
            </w:r>
            <w:r>
              <w:rPr>
                <w:b/>
                <w:w w:val="105"/>
                <w:sz w:val="20"/>
              </w:rPr>
              <w:t>Format</w:t>
            </w:r>
          </w:p>
        </w:tc>
        <w:tc>
          <w:tcPr>
            <w:tcW w:w="1296" w:type="dxa"/>
            <w:tcBorders>
              <w:left w:val="single" w:sz="8" w:space="0" w:color="000000"/>
              <w:bottom w:val="single" w:sz="8" w:space="0" w:color="000000"/>
            </w:tcBorders>
          </w:tcPr>
          <w:p w14:paraId="05D158EC" w14:textId="77777777" w:rsidR="00AE0E24" w:rsidRDefault="008246D5">
            <w:pPr>
              <w:pStyle w:val="TableParagraph"/>
              <w:ind w:left="94"/>
              <w:rPr>
                <w:b/>
                <w:sz w:val="20"/>
              </w:rPr>
            </w:pPr>
            <w:r>
              <w:rPr>
                <w:b/>
                <w:w w:val="105"/>
                <w:sz w:val="20"/>
              </w:rPr>
              <w:t>Duration</w:t>
            </w:r>
          </w:p>
        </w:tc>
      </w:tr>
      <w:tr w:rsidR="00AE0E24" w14:paraId="05D158F3" w14:textId="77777777" w:rsidTr="005E2C1F">
        <w:trPr>
          <w:trHeight w:val="1024"/>
        </w:trPr>
        <w:tc>
          <w:tcPr>
            <w:tcW w:w="1769" w:type="dxa"/>
            <w:tcBorders>
              <w:top w:val="single" w:sz="8" w:space="0" w:color="000000"/>
              <w:right w:val="single" w:sz="8" w:space="0" w:color="000000"/>
            </w:tcBorders>
          </w:tcPr>
          <w:p w14:paraId="05D158EE" w14:textId="56C0D750" w:rsidR="00AE0E24" w:rsidRDefault="008246D5">
            <w:pPr>
              <w:pStyle w:val="TableParagraph"/>
              <w:spacing w:line="268" w:lineRule="auto"/>
              <w:ind w:right="130"/>
              <w:jc w:val="both"/>
              <w:rPr>
                <w:sz w:val="20"/>
              </w:rPr>
            </w:pPr>
            <w:r>
              <w:rPr>
                <w:spacing w:val="-1"/>
                <w:w w:val="105"/>
                <w:sz w:val="20"/>
              </w:rPr>
              <w:t>Refer</w:t>
            </w:r>
            <w:r>
              <w:rPr>
                <w:spacing w:val="-11"/>
                <w:w w:val="105"/>
                <w:sz w:val="20"/>
              </w:rPr>
              <w:t xml:space="preserve"> </w:t>
            </w:r>
            <w:r>
              <w:rPr>
                <w:w w:val="105"/>
                <w:sz w:val="20"/>
              </w:rPr>
              <w:t>to</w:t>
            </w:r>
            <w:r>
              <w:rPr>
                <w:spacing w:val="-9"/>
                <w:w w:val="105"/>
                <w:sz w:val="20"/>
              </w:rPr>
              <w:t xml:space="preserve"> </w:t>
            </w:r>
            <w:r>
              <w:rPr>
                <w:w w:val="105"/>
                <w:sz w:val="20"/>
              </w:rPr>
              <w:t>the</w:t>
            </w:r>
            <w:r>
              <w:rPr>
                <w:spacing w:val="-12"/>
                <w:w w:val="105"/>
                <w:sz w:val="20"/>
              </w:rPr>
              <w:t xml:space="preserve"> </w:t>
            </w:r>
            <w:r>
              <w:rPr>
                <w:w w:val="105"/>
                <w:sz w:val="20"/>
              </w:rPr>
              <w:t>latest</w:t>
            </w:r>
            <w:r>
              <w:rPr>
                <w:spacing w:val="-45"/>
                <w:w w:val="105"/>
                <w:sz w:val="20"/>
              </w:rPr>
              <w:t xml:space="preserve"> </w:t>
            </w:r>
            <w:r>
              <w:rPr>
                <w:spacing w:val="-1"/>
                <w:w w:val="105"/>
                <w:sz w:val="20"/>
              </w:rPr>
              <w:t>advertised events</w:t>
            </w:r>
            <w:r>
              <w:rPr>
                <w:spacing w:val="-45"/>
                <w:w w:val="105"/>
                <w:sz w:val="20"/>
              </w:rPr>
              <w:t xml:space="preserve"> </w:t>
            </w:r>
            <w:r>
              <w:rPr>
                <w:w w:val="105"/>
                <w:sz w:val="20"/>
              </w:rPr>
              <w:t>for</w:t>
            </w:r>
            <w:r>
              <w:rPr>
                <w:spacing w:val="-7"/>
                <w:w w:val="105"/>
                <w:sz w:val="20"/>
              </w:rPr>
              <w:t xml:space="preserve"> </w:t>
            </w:r>
            <w:r>
              <w:rPr>
                <w:w w:val="105"/>
                <w:sz w:val="20"/>
              </w:rPr>
              <w:t>current</w:t>
            </w:r>
            <w:r>
              <w:rPr>
                <w:spacing w:val="-6"/>
                <w:w w:val="105"/>
                <w:sz w:val="20"/>
              </w:rPr>
              <w:t xml:space="preserve"> </w:t>
            </w:r>
            <w:r>
              <w:rPr>
                <w:w w:val="105"/>
                <w:sz w:val="20"/>
              </w:rPr>
              <w:t>rates</w:t>
            </w:r>
            <w:r w:rsidR="00764041">
              <w:rPr>
                <w:w w:val="105"/>
                <w:sz w:val="20"/>
              </w:rPr>
              <w:t xml:space="preserve"> or as quoted</w:t>
            </w:r>
          </w:p>
        </w:tc>
        <w:tc>
          <w:tcPr>
            <w:tcW w:w="1693" w:type="dxa"/>
            <w:tcBorders>
              <w:top w:val="single" w:sz="8" w:space="0" w:color="000000"/>
              <w:left w:val="single" w:sz="8" w:space="0" w:color="000000"/>
              <w:right w:val="single" w:sz="8" w:space="0" w:color="000000"/>
            </w:tcBorders>
          </w:tcPr>
          <w:p w14:paraId="05D158EF" w14:textId="43CE3AF5" w:rsidR="00AE0E24" w:rsidRDefault="004E0D65">
            <w:pPr>
              <w:pStyle w:val="TableParagraph"/>
              <w:ind w:left="96"/>
              <w:rPr>
                <w:sz w:val="20"/>
              </w:rPr>
            </w:pPr>
            <w:r>
              <w:rPr>
                <w:w w:val="105"/>
                <w:sz w:val="20"/>
              </w:rPr>
              <w:t>12</w:t>
            </w:r>
            <w:r w:rsidR="008246D5">
              <w:rPr>
                <w:spacing w:val="-8"/>
                <w:w w:val="105"/>
                <w:sz w:val="20"/>
              </w:rPr>
              <w:t xml:space="preserve"> </w:t>
            </w:r>
            <w:r w:rsidR="008246D5">
              <w:rPr>
                <w:w w:val="105"/>
                <w:sz w:val="20"/>
              </w:rPr>
              <w:t>hours</w:t>
            </w:r>
          </w:p>
        </w:tc>
        <w:tc>
          <w:tcPr>
            <w:tcW w:w="2618" w:type="dxa"/>
            <w:tcBorders>
              <w:top w:val="single" w:sz="8" w:space="0" w:color="000000"/>
              <w:left w:val="single" w:sz="8" w:space="0" w:color="000000"/>
              <w:right w:val="single" w:sz="8" w:space="0" w:color="000000"/>
            </w:tcBorders>
          </w:tcPr>
          <w:p w14:paraId="05D158F0" w14:textId="77777777" w:rsidR="00AE0E24" w:rsidRDefault="008246D5">
            <w:pPr>
              <w:pStyle w:val="TableParagraph"/>
              <w:rPr>
                <w:sz w:val="20"/>
              </w:rPr>
            </w:pPr>
            <w:r>
              <w:rPr>
                <w:w w:val="105"/>
                <w:sz w:val="20"/>
              </w:rPr>
              <w:t>n/a</w:t>
            </w:r>
          </w:p>
        </w:tc>
        <w:tc>
          <w:tcPr>
            <w:tcW w:w="1150" w:type="dxa"/>
            <w:tcBorders>
              <w:top w:val="single" w:sz="8" w:space="0" w:color="000000"/>
              <w:left w:val="single" w:sz="8" w:space="0" w:color="000000"/>
              <w:right w:val="single" w:sz="8" w:space="0" w:color="000000"/>
            </w:tcBorders>
          </w:tcPr>
          <w:p w14:paraId="05D158F1" w14:textId="24272A82" w:rsidR="00AE0E24" w:rsidRDefault="008246D5">
            <w:pPr>
              <w:pStyle w:val="TableParagraph"/>
              <w:spacing w:line="268" w:lineRule="auto"/>
              <w:ind w:left="96" w:right="206" w:hanging="1"/>
              <w:jc w:val="both"/>
              <w:rPr>
                <w:sz w:val="20"/>
              </w:rPr>
            </w:pPr>
            <w:r>
              <w:rPr>
                <w:spacing w:val="-2"/>
                <w:w w:val="105"/>
                <w:sz w:val="20"/>
              </w:rPr>
              <w:t xml:space="preserve">Virtual </w:t>
            </w:r>
            <w:r w:rsidR="00580362">
              <w:rPr>
                <w:spacing w:val="-1"/>
                <w:w w:val="105"/>
                <w:sz w:val="20"/>
              </w:rPr>
              <w:t>via</w:t>
            </w:r>
            <w:r>
              <w:rPr>
                <w:spacing w:val="-45"/>
                <w:w w:val="105"/>
                <w:sz w:val="20"/>
              </w:rPr>
              <w:t xml:space="preserve"> </w:t>
            </w:r>
            <w:r>
              <w:rPr>
                <w:spacing w:val="-1"/>
                <w:w w:val="105"/>
                <w:sz w:val="20"/>
              </w:rPr>
              <w:t>Microsoft</w:t>
            </w:r>
            <w:r>
              <w:rPr>
                <w:spacing w:val="-46"/>
                <w:w w:val="105"/>
                <w:sz w:val="20"/>
              </w:rPr>
              <w:t xml:space="preserve"> </w:t>
            </w:r>
            <w:r>
              <w:rPr>
                <w:w w:val="105"/>
                <w:sz w:val="20"/>
              </w:rPr>
              <w:t>Teams</w:t>
            </w:r>
          </w:p>
        </w:tc>
        <w:tc>
          <w:tcPr>
            <w:tcW w:w="1296" w:type="dxa"/>
            <w:tcBorders>
              <w:top w:val="single" w:sz="8" w:space="0" w:color="000000"/>
              <w:left w:val="single" w:sz="8" w:space="0" w:color="000000"/>
            </w:tcBorders>
          </w:tcPr>
          <w:p w14:paraId="05D158F2" w14:textId="16A457A8" w:rsidR="00AE0E24" w:rsidRDefault="004E0D65">
            <w:pPr>
              <w:pStyle w:val="TableParagraph"/>
              <w:spacing w:line="268" w:lineRule="auto"/>
              <w:ind w:left="94" w:right="96"/>
              <w:rPr>
                <w:sz w:val="20"/>
              </w:rPr>
            </w:pPr>
            <w:r>
              <w:rPr>
                <w:w w:val="105"/>
                <w:sz w:val="20"/>
              </w:rPr>
              <w:t>2 sequential</w:t>
            </w:r>
            <w:r w:rsidR="00602424">
              <w:rPr>
                <w:w w:val="105"/>
                <w:sz w:val="20"/>
              </w:rPr>
              <w:t xml:space="preserve"> day</w:t>
            </w:r>
            <w:r>
              <w:rPr>
                <w:w w:val="105"/>
                <w:sz w:val="20"/>
              </w:rPr>
              <w:t>s</w:t>
            </w:r>
            <w:r w:rsidR="008246D5">
              <w:rPr>
                <w:w w:val="105"/>
                <w:sz w:val="20"/>
              </w:rPr>
              <w:t xml:space="preserve"> </w:t>
            </w:r>
            <w:r w:rsidR="00AF7AB6">
              <w:rPr>
                <w:w w:val="105"/>
                <w:sz w:val="20"/>
              </w:rPr>
              <w:t>&amp; 3</w:t>
            </w:r>
            <w:r w:rsidR="00AF7AB6" w:rsidRPr="00AF7AB6">
              <w:rPr>
                <w:w w:val="105"/>
                <w:sz w:val="20"/>
                <w:vertAlign w:val="superscript"/>
              </w:rPr>
              <w:t>rd</w:t>
            </w:r>
            <w:r w:rsidR="00AF7AB6">
              <w:rPr>
                <w:w w:val="105"/>
                <w:sz w:val="20"/>
              </w:rPr>
              <w:t xml:space="preserve"> non-sequential day after 3 weeks for feedback </w:t>
            </w:r>
          </w:p>
        </w:tc>
      </w:tr>
    </w:tbl>
    <w:p w14:paraId="05D158F6" w14:textId="77777777" w:rsidR="00AE0E24" w:rsidRDefault="00AE0E24">
      <w:pPr>
        <w:pStyle w:val="BodyText"/>
        <w:spacing w:before="10"/>
        <w:rPr>
          <w:b/>
          <w:sz w:val="25"/>
        </w:rPr>
      </w:pPr>
    </w:p>
    <w:p w14:paraId="05D158F8" w14:textId="185FC3A3" w:rsidR="00AE0E24" w:rsidRPr="00347104" w:rsidRDefault="00347104" w:rsidP="00347104">
      <w:pPr>
        <w:pStyle w:val="Heading1"/>
        <w:ind w:left="0"/>
        <w:rPr>
          <w:color w:val="1F497D" w:themeColor="text2"/>
        </w:rPr>
      </w:pPr>
      <w:r>
        <w:rPr>
          <w:color w:val="1F497D" w:themeColor="text2"/>
        </w:rPr>
        <w:t>Course Objective</w:t>
      </w:r>
      <w:r w:rsidR="00401EDD">
        <w:rPr>
          <w:color w:val="1F497D" w:themeColor="text2"/>
        </w:rPr>
        <w:t>s</w:t>
      </w:r>
    </w:p>
    <w:p w14:paraId="56658E7C" w14:textId="77777777" w:rsidR="00963909" w:rsidRPr="00963909" w:rsidRDefault="00963909" w:rsidP="00963909">
      <w:pPr>
        <w:pStyle w:val="Heading1"/>
        <w:ind w:left="0"/>
        <w:rPr>
          <w:b w:val="0"/>
          <w:bCs w:val="0"/>
          <w:sz w:val="20"/>
          <w:szCs w:val="20"/>
        </w:rPr>
      </w:pPr>
      <w:r w:rsidRPr="00963909">
        <w:rPr>
          <w:b w:val="0"/>
          <w:bCs w:val="0"/>
          <w:sz w:val="20"/>
          <w:szCs w:val="20"/>
        </w:rPr>
        <w:t xml:space="preserve">Combined assurance is a </w:t>
      </w:r>
      <w:proofErr w:type="spellStart"/>
      <w:r w:rsidRPr="00963909">
        <w:rPr>
          <w:b w:val="0"/>
          <w:bCs w:val="0"/>
          <w:sz w:val="20"/>
          <w:szCs w:val="20"/>
        </w:rPr>
        <w:t>co-ordinated</w:t>
      </w:r>
      <w:proofErr w:type="spellEnd"/>
      <w:r w:rsidRPr="00963909">
        <w:rPr>
          <w:b w:val="0"/>
          <w:bCs w:val="0"/>
          <w:sz w:val="20"/>
          <w:szCs w:val="20"/>
        </w:rPr>
        <w:t xml:space="preserve"> approach that ensures all assurance activities provided by management, internal assurance providers, and external assurance providers adequately address significant risks facing an </w:t>
      </w:r>
      <w:proofErr w:type="spellStart"/>
      <w:r w:rsidRPr="00963909">
        <w:rPr>
          <w:b w:val="0"/>
          <w:bCs w:val="0"/>
          <w:sz w:val="20"/>
          <w:szCs w:val="20"/>
        </w:rPr>
        <w:t>organisation</w:t>
      </w:r>
      <w:proofErr w:type="spellEnd"/>
      <w:r w:rsidRPr="00963909">
        <w:rPr>
          <w:b w:val="0"/>
          <w:bCs w:val="0"/>
          <w:sz w:val="20"/>
          <w:szCs w:val="20"/>
        </w:rPr>
        <w:t>, and suitable controls exist to mitigate these inherent risks to an acceptable level of residual risk.</w:t>
      </w:r>
    </w:p>
    <w:p w14:paraId="11180B2F" w14:textId="77777777" w:rsidR="00963909" w:rsidRPr="00963909" w:rsidRDefault="00963909" w:rsidP="00963909">
      <w:pPr>
        <w:pStyle w:val="Heading1"/>
        <w:ind w:left="567" w:hanging="567"/>
        <w:rPr>
          <w:b w:val="0"/>
          <w:bCs w:val="0"/>
          <w:sz w:val="20"/>
          <w:szCs w:val="20"/>
        </w:rPr>
      </w:pPr>
    </w:p>
    <w:p w14:paraId="6271BF46" w14:textId="77777777" w:rsidR="00963909" w:rsidRPr="00963909" w:rsidRDefault="00963909" w:rsidP="00963909">
      <w:pPr>
        <w:pStyle w:val="Heading1"/>
        <w:ind w:left="567" w:hanging="567"/>
        <w:rPr>
          <w:b w:val="0"/>
          <w:bCs w:val="0"/>
          <w:sz w:val="20"/>
          <w:szCs w:val="20"/>
        </w:rPr>
      </w:pPr>
      <w:r w:rsidRPr="00963909">
        <w:rPr>
          <w:b w:val="0"/>
          <w:bCs w:val="0"/>
          <w:sz w:val="20"/>
          <w:szCs w:val="20"/>
        </w:rPr>
        <w:t xml:space="preserve">Combined assurance involves the integration of assurance processes within an </w:t>
      </w:r>
      <w:proofErr w:type="spellStart"/>
      <w:r w:rsidRPr="00963909">
        <w:rPr>
          <w:b w:val="0"/>
          <w:bCs w:val="0"/>
          <w:sz w:val="20"/>
          <w:szCs w:val="20"/>
        </w:rPr>
        <w:t>organisation</w:t>
      </w:r>
      <w:proofErr w:type="spellEnd"/>
      <w:r w:rsidRPr="00963909">
        <w:rPr>
          <w:b w:val="0"/>
          <w:bCs w:val="0"/>
          <w:sz w:val="20"/>
          <w:szCs w:val="20"/>
        </w:rPr>
        <w:t xml:space="preserve"> </w:t>
      </w:r>
      <w:proofErr w:type="gramStart"/>
      <w:r w:rsidRPr="00963909">
        <w:rPr>
          <w:b w:val="0"/>
          <w:bCs w:val="0"/>
          <w:sz w:val="20"/>
          <w:szCs w:val="20"/>
        </w:rPr>
        <w:t>in order to</w:t>
      </w:r>
      <w:proofErr w:type="gramEnd"/>
      <w:r w:rsidRPr="00963909">
        <w:rPr>
          <w:b w:val="0"/>
          <w:bCs w:val="0"/>
          <w:sz w:val="20"/>
          <w:szCs w:val="20"/>
        </w:rPr>
        <w:t>:</w:t>
      </w:r>
    </w:p>
    <w:p w14:paraId="40C3B8EC" w14:textId="77777777" w:rsidR="00963909" w:rsidRPr="00963909" w:rsidRDefault="00963909" w:rsidP="00963909">
      <w:pPr>
        <w:pStyle w:val="Heading1"/>
        <w:ind w:left="567" w:hanging="567"/>
        <w:rPr>
          <w:b w:val="0"/>
          <w:bCs w:val="0"/>
          <w:sz w:val="20"/>
          <w:szCs w:val="20"/>
        </w:rPr>
      </w:pPr>
      <w:r w:rsidRPr="00963909">
        <w:rPr>
          <w:b w:val="0"/>
          <w:bCs w:val="0"/>
          <w:sz w:val="20"/>
          <w:szCs w:val="20"/>
        </w:rPr>
        <w:t>•</w:t>
      </w:r>
      <w:r w:rsidRPr="00963909">
        <w:rPr>
          <w:b w:val="0"/>
          <w:bCs w:val="0"/>
          <w:sz w:val="20"/>
          <w:szCs w:val="20"/>
        </w:rPr>
        <w:tab/>
      </w:r>
      <w:proofErr w:type="spellStart"/>
      <w:r w:rsidRPr="00963909">
        <w:rPr>
          <w:b w:val="0"/>
          <w:bCs w:val="0"/>
          <w:sz w:val="20"/>
          <w:szCs w:val="20"/>
        </w:rPr>
        <w:t>maximise</w:t>
      </w:r>
      <w:proofErr w:type="spellEnd"/>
      <w:r w:rsidRPr="00963909">
        <w:rPr>
          <w:b w:val="0"/>
          <w:bCs w:val="0"/>
          <w:sz w:val="20"/>
          <w:szCs w:val="20"/>
        </w:rPr>
        <w:t xml:space="preserve"> oversight of risk and governance and control efficiencies</w:t>
      </w:r>
    </w:p>
    <w:p w14:paraId="2F99FD11" w14:textId="77777777" w:rsidR="00963909" w:rsidRPr="00963909" w:rsidRDefault="00963909" w:rsidP="00963909">
      <w:pPr>
        <w:pStyle w:val="Heading1"/>
        <w:ind w:left="567" w:hanging="567"/>
        <w:rPr>
          <w:b w:val="0"/>
          <w:bCs w:val="0"/>
          <w:sz w:val="20"/>
          <w:szCs w:val="20"/>
        </w:rPr>
      </w:pPr>
      <w:r w:rsidRPr="00963909">
        <w:rPr>
          <w:b w:val="0"/>
          <w:bCs w:val="0"/>
          <w:sz w:val="20"/>
          <w:szCs w:val="20"/>
        </w:rPr>
        <w:t>•</w:t>
      </w:r>
      <w:r w:rsidRPr="00963909">
        <w:rPr>
          <w:b w:val="0"/>
          <w:bCs w:val="0"/>
          <w:sz w:val="20"/>
          <w:szCs w:val="20"/>
        </w:rPr>
        <w:tab/>
      </w:r>
      <w:proofErr w:type="spellStart"/>
      <w:r w:rsidRPr="00963909">
        <w:rPr>
          <w:b w:val="0"/>
          <w:bCs w:val="0"/>
          <w:sz w:val="20"/>
          <w:szCs w:val="20"/>
        </w:rPr>
        <w:t>optimise</w:t>
      </w:r>
      <w:proofErr w:type="spellEnd"/>
      <w:r w:rsidRPr="00963909">
        <w:rPr>
          <w:b w:val="0"/>
          <w:bCs w:val="0"/>
          <w:sz w:val="20"/>
          <w:szCs w:val="20"/>
        </w:rPr>
        <w:t xml:space="preserve"> the overall assurance provided to the audit committee</w:t>
      </w:r>
    </w:p>
    <w:p w14:paraId="418E4C05" w14:textId="77777777" w:rsidR="00963909" w:rsidRPr="00963909" w:rsidRDefault="00963909" w:rsidP="00963909">
      <w:pPr>
        <w:pStyle w:val="Heading1"/>
        <w:ind w:left="567" w:hanging="567"/>
        <w:rPr>
          <w:b w:val="0"/>
          <w:bCs w:val="0"/>
          <w:sz w:val="20"/>
          <w:szCs w:val="20"/>
        </w:rPr>
      </w:pPr>
      <w:r w:rsidRPr="00963909">
        <w:rPr>
          <w:b w:val="0"/>
          <w:bCs w:val="0"/>
          <w:sz w:val="20"/>
          <w:szCs w:val="20"/>
        </w:rPr>
        <w:t>•</w:t>
      </w:r>
      <w:r w:rsidRPr="00963909">
        <w:rPr>
          <w:b w:val="0"/>
          <w:bCs w:val="0"/>
          <w:sz w:val="20"/>
          <w:szCs w:val="20"/>
        </w:rPr>
        <w:tab/>
        <w:t>reduce assurance overlap</w:t>
      </w:r>
    </w:p>
    <w:p w14:paraId="0B07234D" w14:textId="77777777" w:rsidR="00963909" w:rsidRPr="00963909" w:rsidRDefault="00963909" w:rsidP="00963909">
      <w:pPr>
        <w:pStyle w:val="Heading1"/>
        <w:ind w:left="567" w:hanging="567"/>
        <w:rPr>
          <w:b w:val="0"/>
          <w:bCs w:val="0"/>
          <w:sz w:val="20"/>
          <w:szCs w:val="20"/>
        </w:rPr>
      </w:pPr>
      <w:r w:rsidRPr="00963909">
        <w:rPr>
          <w:b w:val="0"/>
          <w:bCs w:val="0"/>
          <w:sz w:val="20"/>
          <w:szCs w:val="20"/>
        </w:rPr>
        <w:t>•</w:t>
      </w:r>
      <w:r w:rsidRPr="00963909">
        <w:rPr>
          <w:b w:val="0"/>
          <w:bCs w:val="0"/>
          <w:sz w:val="20"/>
          <w:szCs w:val="20"/>
        </w:rPr>
        <w:tab/>
      </w:r>
      <w:proofErr w:type="spellStart"/>
      <w:r w:rsidRPr="00963909">
        <w:rPr>
          <w:b w:val="0"/>
          <w:bCs w:val="0"/>
          <w:sz w:val="20"/>
          <w:szCs w:val="20"/>
        </w:rPr>
        <w:t>minimise</w:t>
      </w:r>
      <w:proofErr w:type="spellEnd"/>
      <w:r w:rsidRPr="00963909">
        <w:rPr>
          <w:b w:val="0"/>
          <w:bCs w:val="0"/>
          <w:sz w:val="20"/>
          <w:szCs w:val="20"/>
        </w:rPr>
        <w:t xml:space="preserve"> assurance cost</w:t>
      </w:r>
    </w:p>
    <w:p w14:paraId="2BE1FF64" w14:textId="77777777" w:rsidR="00963909" w:rsidRDefault="00963909" w:rsidP="00963909">
      <w:pPr>
        <w:pStyle w:val="Heading1"/>
        <w:ind w:left="567" w:hanging="567"/>
        <w:rPr>
          <w:b w:val="0"/>
          <w:bCs w:val="0"/>
          <w:sz w:val="20"/>
          <w:szCs w:val="20"/>
        </w:rPr>
      </w:pPr>
      <w:r w:rsidRPr="00963909">
        <w:rPr>
          <w:b w:val="0"/>
          <w:bCs w:val="0"/>
          <w:sz w:val="20"/>
          <w:szCs w:val="20"/>
        </w:rPr>
        <w:t>•</w:t>
      </w:r>
      <w:r w:rsidRPr="00963909">
        <w:rPr>
          <w:b w:val="0"/>
          <w:bCs w:val="0"/>
          <w:sz w:val="20"/>
          <w:szCs w:val="20"/>
        </w:rPr>
        <w:tab/>
        <w:t xml:space="preserve">give due consideration to the </w:t>
      </w:r>
      <w:proofErr w:type="spellStart"/>
      <w:r w:rsidRPr="00963909">
        <w:rPr>
          <w:b w:val="0"/>
          <w:bCs w:val="0"/>
          <w:sz w:val="20"/>
          <w:szCs w:val="20"/>
        </w:rPr>
        <w:t>organisation’s</w:t>
      </w:r>
      <w:proofErr w:type="spellEnd"/>
      <w:r w:rsidRPr="00963909">
        <w:rPr>
          <w:b w:val="0"/>
          <w:bCs w:val="0"/>
          <w:sz w:val="20"/>
          <w:szCs w:val="20"/>
        </w:rPr>
        <w:t xml:space="preserve"> risk appetite.</w:t>
      </w:r>
    </w:p>
    <w:p w14:paraId="722B0C2C" w14:textId="77777777" w:rsidR="00963909" w:rsidRPr="00963909" w:rsidRDefault="00963909" w:rsidP="00963909">
      <w:pPr>
        <w:pStyle w:val="Heading1"/>
        <w:ind w:left="567" w:hanging="567"/>
        <w:rPr>
          <w:b w:val="0"/>
          <w:bCs w:val="0"/>
          <w:sz w:val="20"/>
          <w:szCs w:val="20"/>
        </w:rPr>
      </w:pPr>
    </w:p>
    <w:p w14:paraId="3649D0AC" w14:textId="180F5E92" w:rsidR="00414BB0" w:rsidRDefault="00963909" w:rsidP="00963909">
      <w:pPr>
        <w:pStyle w:val="Heading1"/>
        <w:ind w:left="0"/>
        <w:rPr>
          <w:b w:val="0"/>
          <w:bCs w:val="0"/>
          <w:sz w:val="20"/>
          <w:szCs w:val="20"/>
        </w:rPr>
      </w:pPr>
      <w:r w:rsidRPr="00963909">
        <w:rPr>
          <w:b w:val="0"/>
          <w:bCs w:val="0"/>
          <w:sz w:val="20"/>
          <w:szCs w:val="20"/>
        </w:rPr>
        <w:t>Combined assurance is about assurance providers working closer together to ensure the right amount of assurance, in the right areas, from people with the best skills, in the most cost-effective way possible.</w:t>
      </w:r>
    </w:p>
    <w:p w14:paraId="38628F80" w14:textId="77777777" w:rsidR="00963909" w:rsidRDefault="00963909" w:rsidP="00963909">
      <w:pPr>
        <w:pStyle w:val="Heading1"/>
        <w:ind w:left="0"/>
        <w:rPr>
          <w:b w:val="0"/>
          <w:bCs w:val="0"/>
          <w:sz w:val="20"/>
          <w:szCs w:val="20"/>
        </w:rPr>
      </w:pPr>
    </w:p>
    <w:p w14:paraId="3013A7C2" w14:textId="4ED757A2" w:rsidR="00F5615D" w:rsidRPr="00401EDD" w:rsidRDefault="00401EDD" w:rsidP="00414BB0">
      <w:pPr>
        <w:pStyle w:val="Heading1"/>
        <w:ind w:left="0"/>
        <w:rPr>
          <w:color w:val="1F497D" w:themeColor="text2"/>
        </w:rPr>
      </w:pPr>
      <w:r w:rsidRPr="00401EDD">
        <w:rPr>
          <w:color w:val="1F497D" w:themeColor="text2"/>
        </w:rPr>
        <w:t>Prerequisites</w:t>
      </w:r>
      <w:r w:rsidR="004E3A80">
        <w:rPr>
          <w:color w:val="1F497D" w:themeColor="text2"/>
        </w:rPr>
        <w:t xml:space="preserve"> and study material </w:t>
      </w:r>
    </w:p>
    <w:p w14:paraId="0BEF901D" w14:textId="626C5F41" w:rsidR="003F2B9C" w:rsidRDefault="00F5615D" w:rsidP="00060FCE">
      <w:pPr>
        <w:pStyle w:val="BodyText"/>
        <w:rPr>
          <w:sz w:val="20"/>
          <w:szCs w:val="20"/>
        </w:rPr>
      </w:pPr>
      <w:r w:rsidRPr="005E2C1F">
        <w:rPr>
          <w:sz w:val="20"/>
          <w:szCs w:val="20"/>
        </w:rPr>
        <w:t xml:space="preserve">We highly recommend that </w:t>
      </w:r>
      <w:r w:rsidR="00867B9A">
        <w:rPr>
          <w:sz w:val="20"/>
          <w:szCs w:val="20"/>
        </w:rPr>
        <w:t>attendees</w:t>
      </w:r>
      <w:r w:rsidR="003A0339">
        <w:rPr>
          <w:sz w:val="20"/>
          <w:szCs w:val="20"/>
        </w:rPr>
        <w:t xml:space="preserve"> </w:t>
      </w:r>
      <w:proofErr w:type="gramStart"/>
      <w:r w:rsidR="003A0339">
        <w:rPr>
          <w:sz w:val="20"/>
          <w:szCs w:val="20"/>
        </w:rPr>
        <w:t>have an understanding of</w:t>
      </w:r>
      <w:proofErr w:type="gramEnd"/>
      <w:r w:rsidR="003A0339">
        <w:rPr>
          <w:sz w:val="20"/>
          <w:szCs w:val="20"/>
        </w:rPr>
        <w:t xml:space="preserve"> the GACP</w:t>
      </w:r>
      <w:r w:rsidR="00060FCE">
        <w:rPr>
          <w:sz w:val="20"/>
          <w:szCs w:val="20"/>
        </w:rPr>
        <w:t xml:space="preserve">.  </w:t>
      </w:r>
    </w:p>
    <w:p w14:paraId="2F092108" w14:textId="77777777" w:rsidR="005F0635" w:rsidRDefault="003F2B9C" w:rsidP="005E2C1F">
      <w:pPr>
        <w:pStyle w:val="BodyText"/>
        <w:rPr>
          <w:sz w:val="20"/>
          <w:szCs w:val="20"/>
        </w:rPr>
      </w:pPr>
      <w:r>
        <w:rPr>
          <w:sz w:val="20"/>
          <w:szCs w:val="20"/>
        </w:rPr>
        <w:t xml:space="preserve"> </w:t>
      </w:r>
    </w:p>
    <w:p w14:paraId="21B5A83F" w14:textId="77777777" w:rsidR="005F0635" w:rsidRDefault="005F0635" w:rsidP="005E2C1F">
      <w:pPr>
        <w:pStyle w:val="BodyText"/>
        <w:rPr>
          <w:sz w:val="20"/>
          <w:szCs w:val="20"/>
        </w:rPr>
      </w:pPr>
      <w:r w:rsidRPr="005F0635">
        <w:rPr>
          <w:sz w:val="20"/>
          <w:szCs w:val="20"/>
        </w:rPr>
        <w:t xml:space="preserve">The Generally Accepted Compliance Practice framework (GACP) – members receive this as part of their </w:t>
      </w:r>
      <w:proofErr w:type="gramStart"/>
      <w:r w:rsidRPr="005F0635">
        <w:rPr>
          <w:sz w:val="20"/>
          <w:szCs w:val="20"/>
        </w:rPr>
        <w:t>membership</w:t>
      </w:r>
      <w:proofErr w:type="gramEnd"/>
      <w:r w:rsidRPr="005F0635">
        <w:rPr>
          <w:sz w:val="20"/>
          <w:szCs w:val="20"/>
        </w:rPr>
        <w:t xml:space="preserve"> or it may be purchased by non-members from </w:t>
      </w:r>
      <w:hyperlink r:id="rId12" w:history="1">
        <w:r w:rsidRPr="00396B99">
          <w:rPr>
            <w:rStyle w:val="Hyperlink"/>
            <w:sz w:val="20"/>
            <w:szCs w:val="20"/>
          </w:rPr>
          <w:t>accounts@compliancesa.com</w:t>
        </w:r>
      </w:hyperlink>
      <w:r>
        <w:rPr>
          <w:sz w:val="20"/>
          <w:szCs w:val="20"/>
        </w:rPr>
        <w:t xml:space="preserve"> </w:t>
      </w:r>
    </w:p>
    <w:p w14:paraId="72DF6EC7" w14:textId="77777777" w:rsidR="00144418" w:rsidRDefault="00144418" w:rsidP="005E2C1F">
      <w:pPr>
        <w:pStyle w:val="BodyText"/>
        <w:rPr>
          <w:sz w:val="20"/>
          <w:szCs w:val="20"/>
        </w:rPr>
      </w:pPr>
    </w:p>
    <w:p w14:paraId="1287A018" w14:textId="77777777" w:rsidR="00144418" w:rsidRPr="00144418" w:rsidRDefault="00144418" w:rsidP="00144418">
      <w:pPr>
        <w:spacing w:line="276" w:lineRule="auto"/>
        <w:rPr>
          <w:sz w:val="20"/>
          <w:szCs w:val="20"/>
        </w:rPr>
      </w:pPr>
      <w:r w:rsidRPr="00144418">
        <w:rPr>
          <w:sz w:val="20"/>
          <w:szCs w:val="20"/>
        </w:rPr>
        <w:t xml:space="preserve">Attendees should </w:t>
      </w:r>
      <w:proofErr w:type="gramStart"/>
      <w:r w:rsidRPr="00144418">
        <w:rPr>
          <w:sz w:val="20"/>
          <w:szCs w:val="20"/>
        </w:rPr>
        <w:t>have an understanding of</w:t>
      </w:r>
      <w:proofErr w:type="gramEnd"/>
      <w:r w:rsidRPr="00144418">
        <w:rPr>
          <w:sz w:val="20"/>
          <w:szCs w:val="20"/>
        </w:rPr>
        <w:t xml:space="preserve"> Risk Management and Assurance concepts in order to follow the terminology and methodology references.  </w:t>
      </w:r>
    </w:p>
    <w:p w14:paraId="337CC106" w14:textId="77777777" w:rsidR="00144418" w:rsidRDefault="00144418" w:rsidP="00144418">
      <w:pPr>
        <w:pStyle w:val="ListParagraph"/>
        <w:ind w:left="0" w:firstLine="0"/>
        <w:jc w:val="both"/>
        <w:rPr>
          <w:sz w:val="20"/>
          <w:szCs w:val="20"/>
        </w:rPr>
      </w:pPr>
    </w:p>
    <w:p w14:paraId="7815688F" w14:textId="507F0201" w:rsidR="00144418" w:rsidRPr="00144418" w:rsidRDefault="00144418" w:rsidP="00144418">
      <w:pPr>
        <w:pStyle w:val="ListParagraph"/>
        <w:ind w:left="0" w:firstLine="0"/>
        <w:jc w:val="both"/>
        <w:rPr>
          <w:sz w:val="20"/>
          <w:szCs w:val="20"/>
        </w:rPr>
      </w:pPr>
      <w:r w:rsidRPr="00144418">
        <w:rPr>
          <w:sz w:val="20"/>
          <w:szCs w:val="20"/>
        </w:rPr>
        <w:t>Read through the case study material provided prior to the training.</w:t>
      </w:r>
    </w:p>
    <w:p w14:paraId="0DA87470" w14:textId="77777777" w:rsidR="00144418" w:rsidRDefault="00144418" w:rsidP="005E2C1F">
      <w:pPr>
        <w:pStyle w:val="BodyText"/>
        <w:rPr>
          <w:sz w:val="20"/>
          <w:szCs w:val="20"/>
        </w:rPr>
      </w:pPr>
    </w:p>
    <w:p w14:paraId="02B031FE" w14:textId="3ED1E751" w:rsidR="00F5615D" w:rsidRDefault="00F5615D" w:rsidP="005E2C1F">
      <w:pPr>
        <w:pStyle w:val="BodyText"/>
        <w:rPr>
          <w:b/>
          <w:bCs/>
          <w:color w:val="1F497D" w:themeColor="text2"/>
          <w:sz w:val="22"/>
          <w:szCs w:val="22"/>
        </w:rPr>
      </w:pPr>
      <w:r>
        <w:br/>
      </w:r>
      <w:r w:rsidR="00060FCE">
        <w:rPr>
          <w:b/>
          <w:bCs/>
          <w:color w:val="1F497D" w:themeColor="text2"/>
          <w:sz w:val="22"/>
          <w:szCs w:val="22"/>
        </w:rPr>
        <w:lastRenderedPageBreak/>
        <w:t xml:space="preserve">Course delivery method </w:t>
      </w:r>
      <w:r w:rsidR="00B0111C">
        <w:rPr>
          <w:b/>
          <w:bCs/>
          <w:color w:val="1F497D" w:themeColor="text2"/>
          <w:sz w:val="22"/>
          <w:szCs w:val="22"/>
        </w:rPr>
        <w:t xml:space="preserve"> </w:t>
      </w:r>
    </w:p>
    <w:p w14:paraId="44BE66D8" w14:textId="77777777" w:rsidR="001D4EB6" w:rsidRDefault="00B0111C" w:rsidP="00B0111C">
      <w:pPr>
        <w:pStyle w:val="BodyText"/>
        <w:rPr>
          <w:sz w:val="20"/>
          <w:szCs w:val="20"/>
        </w:rPr>
      </w:pPr>
      <w:r w:rsidRPr="00B0111C">
        <w:rPr>
          <w:sz w:val="20"/>
          <w:szCs w:val="20"/>
        </w:rPr>
        <w:t xml:space="preserve">The training will be delivered in a webinar, allowing for facilitation and group discussion. </w:t>
      </w:r>
    </w:p>
    <w:p w14:paraId="15331627" w14:textId="77777777" w:rsidR="001D4EB6" w:rsidRPr="001D4EB6" w:rsidRDefault="001D4EB6" w:rsidP="001D4EB6">
      <w:pPr>
        <w:pStyle w:val="BodyText"/>
        <w:ind w:left="426" w:hanging="426"/>
        <w:rPr>
          <w:sz w:val="20"/>
          <w:szCs w:val="20"/>
        </w:rPr>
      </w:pPr>
      <w:r w:rsidRPr="001D4EB6">
        <w:rPr>
          <w:sz w:val="20"/>
          <w:szCs w:val="20"/>
        </w:rPr>
        <w:t>•</w:t>
      </w:r>
      <w:r w:rsidRPr="001D4EB6">
        <w:rPr>
          <w:sz w:val="20"/>
          <w:szCs w:val="20"/>
        </w:rPr>
        <w:tab/>
        <w:t>Training slides</w:t>
      </w:r>
    </w:p>
    <w:p w14:paraId="63E5A37E" w14:textId="77777777" w:rsidR="001D4EB6" w:rsidRPr="001D4EB6" w:rsidRDefault="001D4EB6" w:rsidP="001D4EB6">
      <w:pPr>
        <w:pStyle w:val="BodyText"/>
        <w:ind w:left="426" w:hanging="426"/>
        <w:rPr>
          <w:sz w:val="20"/>
          <w:szCs w:val="20"/>
        </w:rPr>
      </w:pPr>
      <w:r w:rsidRPr="001D4EB6">
        <w:rPr>
          <w:sz w:val="20"/>
          <w:szCs w:val="20"/>
        </w:rPr>
        <w:t>•</w:t>
      </w:r>
      <w:r w:rsidRPr="001D4EB6">
        <w:rPr>
          <w:sz w:val="20"/>
          <w:szCs w:val="20"/>
        </w:rPr>
        <w:tab/>
        <w:t>Case Study</w:t>
      </w:r>
    </w:p>
    <w:p w14:paraId="130A195B" w14:textId="7BBE03FE" w:rsidR="00CB41F3" w:rsidRDefault="001D4EB6" w:rsidP="001D4EB6">
      <w:pPr>
        <w:pStyle w:val="BodyText"/>
        <w:ind w:left="426" w:hanging="426"/>
        <w:rPr>
          <w:sz w:val="20"/>
          <w:szCs w:val="20"/>
        </w:rPr>
      </w:pPr>
      <w:r w:rsidRPr="001D4EB6">
        <w:rPr>
          <w:sz w:val="20"/>
          <w:szCs w:val="20"/>
        </w:rPr>
        <w:t>•</w:t>
      </w:r>
      <w:r w:rsidRPr="001D4EB6">
        <w:rPr>
          <w:sz w:val="20"/>
          <w:szCs w:val="20"/>
        </w:rPr>
        <w:tab/>
        <w:t>Example of Combined Assurance Framework / Model</w:t>
      </w:r>
    </w:p>
    <w:p w14:paraId="6E6FE2C5" w14:textId="77777777" w:rsidR="001D4EB6" w:rsidRDefault="001D4EB6" w:rsidP="001D4EB6">
      <w:pPr>
        <w:pStyle w:val="BodyText"/>
        <w:rPr>
          <w:b/>
          <w:bCs/>
          <w:color w:val="1F497D" w:themeColor="text2"/>
          <w:sz w:val="22"/>
          <w:szCs w:val="22"/>
        </w:rPr>
      </w:pPr>
    </w:p>
    <w:p w14:paraId="1A13060A" w14:textId="0812CB68" w:rsidR="00773C20" w:rsidRDefault="001419A7" w:rsidP="004D611F">
      <w:pPr>
        <w:pStyle w:val="BodyText"/>
        <w:rPr>
          <w:b/>
          <w:bCs/>
          <w:color w:val="1F497D" w:themeColor="text2"/>
          <w:sz w:val="22"/>
          <w:szCs w:val="22"/>
        </w:rPr>
      </w:pPr>
      <w:r>
        <w:rPr>
          <w:b/>
          <w:bCs/>
          <w:color w:val="1F497D" w:themeColor="text2"/>
          <w:sz w:val="22"/>
          <w:szCs w:val="22"/>
        </w:rPr>
        <w:t>Detailed outline</w:t>
      </w:r>
    </w:p>
    <w:p w14:paraId="5AD57A3B" w14:textId="77777777" w:rsidR="00DA6FCA" w:rsidRPr="006D1590" w:rsidRDefault="00DA6FCA" w:rsidP="006D1590">
      <w:pPr>
        <w:pStyle w:val="BodyText"/>
        <w:ind w:left="426" w:hanging="426"/>
        <w:rPr>
          <w:sz w:val="20"/>
          <w:szCs w:val="20"/>
        </w:rPr>
      </w:pPr>
      <w:r w:rsidRPr="006D1590">
        <w:rPr>
          <w:sz w:val="20"/>
          <w:szCs w:val="20"/>
        </w:rPr>
        <w:t>Day 1 (9:00 to 15:00)</w:t>
      </w:r>
    </w:p>
    <w:p w14:paraId="4ABF128F" w14:textId="77777777" w:rsidR="00DA6FCA" w:rsidRPr="006D1590" w:rsidRDefault="00DA6FCA" w:rsidP="006D1590">
      <w:pPr>
        <w:pStyle w:val="BodyText"/>
        <w:ind w:left="426" w:hanging="426"/>
        <w:rPr>
          <w:sz w:val="20"/>
          <w:szCs w:val="20"/>
        </w:rPr>
      </w:pPr>
      <w:r w:rsidRPr="006D1590">
        <w:rPr>
          <w:sz w:val="20"/>
          <w:szCs w:val="20"/>
        </w:rPr>
        <w:t>1.</w:t>
      </w:r>
      <w:r w:rsidRPr="006D1590">
        <w:rPr>
          <w:sz w:val="20"/>
          <w:szCs w:val="20"/>
        </w:rPr>
        <w:tab/>
        <w:t>Background and benefits of combined assurance.</w:t>
      </w:r>
    </w:p>
    <w:p w14:paraId="1F37CBB9" w14:textId="77777777" w:rsidR="00DA6FCA" w:rsidRPr="006D1590" w:rsidRDefault="00DA6FCA" w:rsidP="006D1590">
      <w:pPr>
        <w:pStyle w:val="BodyText"/>
        <w:ind w:left="426" w:hanging="426"/>
        <w:rPr>
          <w:sz w:val="20"/>
          <w:szCs w:val="20"/>
        </w:rPr>
      </w:pPr>
      <w:r w:rsidRPr="006D1590">
        <w:rPr>
          <w:sz w:val="20"/>
          <w:szCs w:val="20"/>
        </w:rPr>
        <w:t>2.</w:t>
      </w:r>
      <w:r w:rsidRPr="006D1590">
        <w:rPr>
          <w:sz w:val="20"/>
          <w:szCs w:val="20"/>
        </w:rPr>
        <w:tab/>
        <w:t xml:space="preserve">Reflect on the assurance provided by various assurance providers and lines of assurance / </w:t>
      </w:r>
      <w:proofErr w:type="spellStart"/>
      <w:r w:rsidRPr="006D1590">
        <w:rPr>
          <w:sz w:val="20"/>
          <w:szCs w:val="20"/>
        </w:rPr>
        <w:t>defence</w:t>
      </w:r>
      <w:proofErr w:type="spellEnd"/>
      <w:r w:rsidRPr="006D1590">
        <w:rPr>
          <w:sz w:val="20"/>
          <w:szCs w:val="20"/>
        </w:rPr>
        <w:t>.</w:t>
      </w:r>
    </w:p>
    <w:p w14:paraId="3A8F2E88" w14:textId="77777777" w:rsidR="00DA6FCA" w:rsidRPr="006D1590" w:rsidRDefault="00DA6FCA" w:rsidP="006D1590">
      <w:pPr>
        <w:pStyle w:val="BodyText"/>
        <w:ind w:left="426" w:hanging="426"/>
        <w:rPr>
          <w:sz w:val="20"/>
          <w:szCs w:val="20"/>
        </w:rPr>
      </w:pPr>
      <w:r w:rsidRPr="006D1590">
        <w:rPr>
          <w:sz w:val="20"/>
          <w:szCs w:val="20"/>
        </w:rPr>
        <w:t>3.</w:t>
      </w:r>
      <w:r w:rsidRPr="006D1590">
        <w:rPr>
          <w:sz w:val="20"/>
          <w:szCs w:val="20"/>
        </w:rPr>
        <w:tab/>
        <w:t>Evaluate and reflect on the effectiveness, relevance, and adequacy of combined assurance frameworks.</w:t>
      </w:r>
    </w:p>
    <w:p w14:paraId="21F8E555" w14:textId="77777777" w:rsidR="00DA6FCA" w:rsidRPr="006D1590" w:rsidRDefault="00DA6FCA" w:rsidP="006D1590">
      <w:pPr>
        <w:pStyle w:val="BodyText"/>
        <w:ind w:left="426" w:hanging="426"/>
        <w:rPr>
          <w:sz w:val="20"/>
          <w:szCs w:val="20"/>
        </w:rPr>
      </w:pPr>
      <w:r w:rsidRPr="006D1590">
        <w:rPr>
          <w:sz w:val="20"/>
          <w:szCs w:val="20"/>
        </w:rPr>
        <w:t>4.</w:t>
      </w:r>
      <w:r w:rsidRPr="006D1590">
        <w:rPr>
          <w:sz w:val="20"/>
          <w:szCs w:val="20"/>
        </w:rPr>
        <w:tab/>
        <w:t>Describe the process, and role players, in compiling a combined assurance framework.</w:t>
      </w:r>
    </w:p>
    <w:p w14:paraId="6482C41F" w14:textId="77777777" w:rsidR="00DA6FCA" w:rsidRPr="006D1590" w:rsidRDefault="00DA6FCA" w:rsidP="006D1590">
      <w:pPr>
        <w:pStyle w:val="BodyText"/>
        <w:ind w:left="426" w:hanging="426"/>
        <w:rPr>
          <w:sz w:val="20"/>
          <w:szCs w:val="20"/>
        </w:rPr>
      </w:pPr>
      <w:r w:rsidRPr="006D1590">
        <w:rPr>
          <w:sz w:val="20"/>
          <w:szCs w:val="20"/>
        </w:rPr>
        <w:t>5.</w:t>
      </w:r>
      <w:r w:rsidRPr="006D1590">
        <w:rPr>
          <w:sz w:val="20"/>
          <w:szCs w:val="20"/>
        </w:rPr>
        <w:tab/>
        <w:t>Compilation of a Combined Assurance Framework.</w:t>
      </w:r>
    </w:p>
    <w:p w14:paraId="07AAB5BA" w14:textId="77777777" w:rsidR="00DA6FCA" w:rsidRPr="006D1590" w:rsidRDefault="00DA6FCA" w:rsidP="006D1590">
      <w:pPr>
        <w:pStyle w:val="BodyText"/>
        <w:ind w:left="426" w:hanging="426"/>
        <w:rPr>
          <w:sz w:val="20"/>
          <w:szCs w:val="20"/>
        </w:rPr>
      </w:pPr>
      <w:r w:rsidRPr="006D1590">
        <w:rPr>
          <w:sz w:val="20"/>
          <w:szCs w:val="20"/>
        </w:rPr>
        <w:t>6.</w:t>
      </w:r>
      <w:r w:rsidRPr="006D1590">
        <w:rPr>
          <w:sz w:val="20"/>
          <w:szCs w:val="20"/>
        </w:rPr>
        <w:tab/>
        <w:t>Implementation of a Combined Assurance Framework.</w:t>
      </w:r>
    </w:p>
    <w:p w14:paraId="3B0A5997" w14:textId="77777777" w:rsidR="00DA6FCA" w:rsidRPr="006D1590" w:rsidRDefault="00DA6FCA" w:rsidP="006D1590">
      <w:pPr>
        <w:pStyle w:val="BodyText"/>
        <w:ind w:left="426" w:hanging="426"/>
        <w:rPr>
          <w:sz w:val="20"/>
          <w:szCs w:val="20"/>
        </w:rPr>
      </w:pPr>
      <w:r w:rsidRPr="006D1590">
        <w:rPr>
          <w:sz w:val="20"/>
          <w:szCs w:val="20"/>
        </w:rPr>
        <w:t>7.</w:t>
      </w:r>
      <w:r w:rsidRPr="006D1590">
        <w:rPr>
          <w:sz w:val="20"/>
          <w:szCs w:val="20"/>
        </w:rPr>
        <w:tab/>
        <w:t xml:space="preserve">Establishment of a Combined Assurance Forum. </w:t>
      </w:r>
    </w:p>
    <w:p w14:paraId="171BD877" w14:textId="77777777" w:rsidR="00DA6FCA" w:rsidRPr="006D1590" w:rsidRDefault="00DA6FCA" w:rsidP="006D1590">
      <w:pPr>
        <w:pStyle w:val="BodyText"/>
        <w:ind w:left="426" w:hanging="426"/>
        <w:rPr>
          <w:sz w:val="20"/>
          <w:szCs w:val="20"/>
        </w:rPr>
      </w:pPr>
      <w:r w:rsidRPr="006D1590">
        <w:rPr>
          <w:sz w:val="20"/>
          <w:szCs w:val="20"/>
        </w:rPr>
        <w:t>8.</w:t>
      </w:r>
      <w:r w:rsidRPr="006D1590">
        <w:rPr>
          <w:sz w:val="20"/>
          <w:szCs w:val="20"/>
        </w:rPr>
        <w:tab/>
        <w:t>Conducting a due diligence assessment to determine the level of reliance to be placed on individual assurance providers.</w:t>
      </w:r>
    </w:p>
    <w:p w14:paraId="224C0235" w14:textId="77777777" w:rsidR="00DA6FCA" w:rsidRPr="006D1590" w:rsidRDefault="00DA6FCA" w:rsidP="006D1590">
      <w:pPr>
        <w:pStyle w:val="BodyText"/>
        <w:ind w:left="426" w:hanging="426"/>
        <w:rPr>
          <w:sz w:val="20"/>
          <w:szCs w:val="20"/>
        </w:rPr>
      </w:pPr>
      <w:r w:rsidRPr="006D1590">
        <w:rPr>
          <w:sz w:val="20"/>
          <w:szCs w:val="20"/>
        </w:rPr>
        <w:t>9.</w:t>
      </w:r>
      <w:r w:rsidRPr="006D1590">
        <w:rPr>
          <w:sz w:val="20"/>
          <w:szCs w:val="20"/>
        </w:rPr>
        <w:tab/>
        <w:t>Establishment of a comprehensive combined assurance universe (identify all assurance / auditable units).</w:t>
      </w:r>
    </w:p>
    <w:p w14:paraId="58FD6ED7" w14:textId="77777777" w:rsidR="00DA6FCA" w:rsidRPr="006D1590" w:rsidRDefault="00DA6FCA" w:rsidP="006D1590">
      <w:pPr>
        <w:pStyle w:val="BodyText"/>
        <w:ind w:left="426" w:hanging="426"/>
        <w:rPr>
          <w:sz w:val="20"/>
          <w:szCs w:val="20"/>
        </w:rPr>
      </w:pPr>
      <w:r w:rsidRPr="006D1590">
        <w:rPr>
          <w:sz w:val="20"/>
          <w:szCs w:val="20"/>
        </w:rPr>
        <w:t>10.</w:t>
      </w:r>
      <w:r w:rsidRPr="006D1590">
        <w:rPr>
          <w:sz w:val="20"/>
          <w:szCs w:val="20"/>
        </w:rPr>
        <w:tab/>
      </w:r>
      <w:proofErr w:type="spellStart"/>
      <w:r w:rsidRPr="006D1590">
        <w:rPr>
          <w:sz w:val="20"/>
          <w:szCs w:val="20"/>
        </w:rPr>
        <w:t>Prioritising</w:t>
      </w:r>
      <w:proofErr w:type="spellEnd"/>
      <w:r w:rsidRPr="006D1590">
        <w:rPr>
          <w:sz w:val="20"/>
          <w:szCs w:val="20"/>
        </w:rPr>
        <w:t xml:space="preserve"> the combined assurance universe and determining the assurance need for each identified assurance unit in the universe.</w:t>
      </w:r>
    </w:p>
    <w:p w14:paraId="0D9201CE" w14:textId="77777777" w:rsidR="00DA6FCA" w:rsidRPr="006D1590" w:rsidRDefault="00DA6FCA" w:rsidP="006D1590">
      <w:pPr>
        <w:pStyle w:val="BodyText"/>
        <w:ind w:left="426" w:hanging="426"/>
        <w:rPr>
          <w:sz w:val="20"/>
          <w:szCs w:val="20"/>
        </w:rPr>
      </w:pPr>
      <w:r w:rsidRPr="006D1590">
        <w:rPr>
          <w:sz w:val="20"/>
          <w:szCs w:val="20"/>
        </w:rPr>
        <w:t>11.</w:t>
      </w:r>
      <w:r w:rsidRPr="006D1590">
        <w:rPr>
          <w:sz w:val="20"/>
          <w:szCs w:val="20"/>
        </w:rPr>
        <w:tab/>
        <w:t xml:space="preserve">The Conduct of assurance by individual assurance providers. </w:t>
      </w:r>
    </w:p>
    <w:p w14:paraId="355BEB31" w14:textId="77777777" w:rsidR="00DA6FCA" w:rsidRPr="006D1590" w:rsidRDefault="00DA6FCA" w:rsidP="006D1590">
      <w:pPr>
        <w:pStyle w:val="BodyText"/>
        <w:ind w:left="426" w:hanging="426"/>
        <w:rPr>
          <w:sz w:val="20"/>
          <w:szCs w:val="20"/>
        </w:rPr>
      </w:pPr>
      <w:r w:rsidRPr="006D1590">
        <w:rPr>
          <w:sz w:val="20"/>
          <w:szCs w:val="20"/>
        </w:rPr>
        <w:t>12.</w:t>
      </w:r>
      <w:r w:rsidRPr="006D1590">
        <w:rPr>
          <w:sz w:val="20"/>
          <w:szCs w:val="20"/>
        </w:rPr>
        <w:tab/>
        <w:t>Integration of the results of individual assurance providers to a Combined Assurance Plan.</w:t>
      </w:r>
    </w:p>
    <w:p w14:paraId="225A88D9" w14:textId="77777777" w:rsidR="00DA6FCA" w:rsidRPr="006D1590" w:rsidRDefault="00DA6FCA" w:rsidP="006D1590">
      <w:pPr>
        <w:pStyle w:val="BodyText"/>
        <w:ind w:left="426" w:hanging="426"/>
        <w:rPr>
          <w:sz w:val="20"/>
          <w:szCs w:val="20"/>
        </w:rPr>
      </w:pPr>
      <w:r w:rsidRPr="006D1590">
        <w:rPr>
          <w:sz w:val="20"/>
          <w:szCs w:val="20"/>
        </w:rPr>
        <w:t>13.</w:t>
      </w:r>
      <w:r w:rsidRPr="006D1590">
        <w:rPr>
          <w:sz w:val="20"/>
          <w:szCs w:val="20"/>
        </w:rPr>
        <w:tab/>
        <w:t>Combined Assurance Reporting.</w:t>
      </w:r>
    </w:p>
    <w:p w14:paraId="0640C2B4" w14:textId="77777777" w:rsidR="00DA6FCA" w:rsidRPr="006D1590" w:rsidRDefault="00DA6FCA" w:rsidP="006D1590">
      <w:pPr>
        <w:pStyle w:val="BodyText"/>
        <w:ind w:left="426" w:hanging="426"/>
        <w:rPr>
          <w:sz w:val="20"/>
          <w:szCs w:val="20"/>
        </w:rPr>
      </w:pPr>
      <w:r w:rsidRPr="006D1590">
        <w:rPr>
          <w:sz w:val="20"/>
          <w:szCs w:val="20"/>
        </w:rPr>
        <w:t>14.</w:t>
      </w:r>
      <w:r w:rsidRPr="006D1590">
        <w:rPr>
          <w:sz w:val="20"/>
          <w:szCs w:val="20"/>
        </w:rPr>
        <w:tab/>
        <w:t xml:space="preserve"> Residual Risk per individual assurance unit.</w:t>
      </w:r>
    </w:p>
    <w:p w14:paraId="7D7A2D02" w14:textId="77777777" w:rsidR="00DA6FCA" w:rsidRPr="006D1590" w:rsidRDefault="00DA6FCA" w:rsidP="006D1590">
      <w:pPr>
        <w:pStyle w:val="BodyText"/>
        <w:ind w:left="426" w:hanging="426"/>
        <w:rPr>
          <w:sz w:val="20"/>
          <w:szCs w:val="20"/>
        </w:rPr>
      </w:pPr>
      <w:r w:rsidRPr="006D1590">
        <w:rPr>
          <w:sz w:val="20"/>
          <w:szCs w:val="20"/>
        </w:rPr>
        <w:t>15.</w:t>
      </w:r>
      <w:r w:rsidRPr="006D1590">
        <w:rPr>
          <w:sz w:val="20"/>
          <w:szCs w:val="20"/>
        </w:rPr>
        <w:tab/>
        <w:t>Individual assurance provider, and consolidated combined assurance agreed management action plan and tracking.</w:t>
      </w:r>
    </w:p>
    <w:p w14:paraId="531D99B7" w14:textId="77777777" w:rsidR="00DA6FCA" w:rsidRPr="006D1590" w:rsidRDefault="00DA6FCA" w:rsidP="006D1590">
      <w:pPr>
        <w:pStyle w:val="BodyText"/>
        <w:ind w:left="426" w:hanging="426"/>
        <w:rPr>
          <w:sz w:val="20"/>
          <w:szCs w:val="20"/>
        </w:rPr>
      </w:pPr>
    </w:p>
    <w:p w14:paraId="319EE237" w14:textId="77777777" w:rsidR="00DA6FCA" w:rsidRPr="006D1590" w:rsidRDefault="00DA6FCA" w:rsidP="006D1590">
      <w:pPr>
        <w:pStyle w:val="BodyText"/>
        <w:ind w:left="426" w:hanging="426"/>
        <w:rPr>
          <w:sz w:val="20"/>
          <w:szCs w:val="20"/>
        </w:rPr>
      </w:pPr>
      <w:r w:rsidRPr="006D1590">
        <w:rPr>
          <w:sz w:val="20"/>
          <w:szCs w:val="20"/>
        </w:rPr>
        <w:t>Day 2 (9:00 to 12:00)</w:t>
      </w:r>
    </w:p>
    <w:p w14:paraId="37591E90" w14:textId="77777777" w:rsidR="00DA6FCA" w:rsidRPr="006D1590" w:rsidRDefault="00DA6FCA" w:rsidP="006D1590">
      <w:pPr>
        <w:pStyle w:val="BodyText"/>
        <w:ind w:left="426" w:hanging="426"/>
        <w:rPr>
          <w:sz w:val="20"/>
          <w:szCs w:val="20"/>
        </w:rPr>
      </w:pPr>
      <w:r w:rsidRPr="006D1590">
        <w:rPr>
          <w:sz w:val="20"/>
          <w:szCs w:val="20"/>
        </w:rPr>
        <w:t>1.</w:t>
      </w:r>
      <w:r w:rsidRPr="006D1590">
        <w:rPr>
          <w:sz w:val="20"/>
          <w:szCs w:val="20"/>
        </w:rPr>
        <w:tab/>
        <w:t>Combined Assurance Practical Objectives</w:t>
      </w:r>
    </w:p>
    <w:p w14:paraId="70F65832" w14:textId="77777777" w:rsidR="00DA6FCA" w:rsidRPr="006D1590" w:rsidRDefault="00DA6FCA" w:rsidP="006D1590">
      <w:pPr>
        <w:pStyle w:val="BodyText"/>
        <w:ind w:left="426" w:hanging="426"/>
        <w:rPr>
          <w:sz w:val="20"/>
          <w:szCs w:val="20"/>
        </w:rPr>
      </w:pPr>
      <w:r w:rsidRPr="006D1590">
        <w:rPr>
          <w:sz w:val="20"/>
          <w:szCs w:val="20"/>
        </w:rPr>
        <w:t>2.</w:t>
      </w:r>
      <w:r w:rsidRPr="006D1590">
        <w:rPr>
          <w:sz w:val="20"/>
          <w:szCs w:val="20"/>
        </w:rPr>
        <w:tab/>
        <w:t>Discussion of Case Study</w:t>
      </w:r>
    </w:p>
    <w:p w14:paraId="35A266DB" w14:textId="77777777" w:rsidR="00DA6FCA" w:rsidRPr="006D1590" w:rsidRDefault="00DA6FCA" w:rsidP="006D1590">
      <w:pPr>
        <w:pStyle w:val="BodyText"/>
        <w:ind w:left="426" w:hanging="426"/>
        <w:rPr>
          <w:sz w:val="20"/>
          <w:szCs w:val="20"/>
        </w:rPr>
      </w:pPr>
      <w:r w:rsidRPr="006D1590">
        <w:rPr>
          <w:sz w:val="20"/>
          <w:szCs w:val="20"/>
        </w:rPr>
        <w:t>3.</w:t>
      </w:r>
      <w:r w:rsidRPr="006D1590">
        <w:rPr>
          <w:sz w:val="20"/>
          <w:szCs w:val="20"/>
        </w:rPr>
        <w:tab/>
        <w:t>Discussion of Combined Assurance Tool to complete the Case Study</w:t>
      </w:r>
    </w:p>
    <w:p w14:paraId="3250C098" w14:textId="77777777" w:rsidR="00DA6FCA" w:rsidRPr="006D1590" w:rsidRDefault="00DA6FCA" w:rsidP="006D1590">
      <w:pPr>
        <w:pStyle w:val="BodyText"/>
        <w:ind w:left="426" w:hanging="426"/>
        <w:rPr>
          <w:sz w:val="20"/>
          <w:szCs w:val="20"/>
        </w:rPr>
      </w:pPr>
      <w:r w:rsidRPr="006D1590">
        <w:rPr>
          <w:sz w:val="20"/>
          <w:szCs w:val="20"/>
        </w:rPr>
        <w:t>4.</w:t>
      </w:r>
      <w:r w:rsidRPr="006D1590">
        <w:rPr>
          <w:sz w:val="20"/>
          <w:szCs w:val="20"/>
        </w:rPr>
        <w:tab/>
        <w:t>Discussion of Deliverables (included in combined assurance tool):</w:t>
      </w:r>
    </w:p>
    <w:p w14:paraId="5EF9434F"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Documented Combined Assurance Universe.</w:t>
      </w:r>
    </w:p>
    <w:p w14:paraId="1B982177"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 xml:space="preserve">Assurance Need (Risk Assessment, Control Assessment and Consideration of Needs Assessment factors) </w:t>
      </w:r>
    </w:p>
    <w:p w14:paraId="36489E0F"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Mapping of the Combined Assurance universe to all assurance providers.</w:t>
      </w:r>
    </w:p>
    <w:p w14:paraId="1AE47866"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Compilation of a comprehensive Combined Assurance Plan.</w:t>
      </w:r>
    </w:p>
    <w:p w14:paraId="49EB9774"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Inclusion of results of various assurance providers.</w:t>
      </w:r>
    </w:p>
    <w:p w14:paraId="6E1E1208" w14:textId="77777777" w:rsidR="00DA6FCA" w:rsidRPr="006D1590" w:rsidRDefault="00DA6FCA" w:rsidP="006D1590">
      <w:pPr>
        <w:pStyle w:val="BodyText"/>
        <w:ind w:left="426" w:hanging="426"/>
        <w:rPr>
          <w:sz w:val="20"/>
          <w:szCs w:val="20"/>
        </w:rPr>
      </w:pPr>
      <w:r w:rsidRPr="006D1590">
        <w:rPr>
          <w:sz w:val="20"/>
          <w:szCs w:val="20"/>
        </w:rPr>
        <w:t>•</w:t>
      </w:r>
      <w:r w:rsidRPr="006D1590">
        <w:rPr>
          <w:sz w:val="20"/>
          <w:szCs w:val="20"/>
        </w:rPr>
        <w:tab/>
        <w:t>Residual Risk per individual assurance unit.</w:t>
      </w:r>
    </w:p>
    <w:p w14:paraId="12A6B565" w14:textId="77777777" w:rsidR="00DA6FCA" w:rsidRPr="006D1590" w:rsidRDefault="00DA6FCA" w:rsidP="006D1590">
      <w:pPr>
        <w:pStyle w:val="BodyText"/>
        <w:ind w:left="426" w:hanging="426"/>
        <w:rPr>
          <w:sz w:val="20"/>
          <w:szCs w:val="20"/>
        </w:rPr>
      </w:pPr>
      <w:r w:rsidRPr="006D1590">
        <w:rPr>
          <w:sz w:val="20"/>
          <w:szCs w:val="20"/>
        </w:rPr>
        <w:t>5.</w:t>
      </w:r>
      <w:r w:rsidRPr="006D1590">
        <w:rPr>
          <w:sz w:val="20"/>
          <w:szCs w:val="20"/>
        </w:rPr>
        <w:tab/>
        <w:t>Review of Combined Assurance Forum Charter (draft provided which require enhancement)</w:t>
      </w:r>
    </w:p>
    <w:p w14:paraId="20899A2B" w14:textId="77777777" w:rsidR="00DA6FCA" w:rsidRPr="006D1590" w:rsidRDefault="00DA6FCA" w:rsidP="006D1590">
      <w:pPr>
        <w:pStyle w:val="BodyText"/>
        <w:ind w:left="426" w:hanging="426"/>
        <w:rPr>
          <w:sz w:val="20"/>
          <w:szCs w:val="20"/>
        </w:rPr>
      </w:pPr>
      <w:r w:rsidRPr="006D1590">
        <w:rPr>
          <w:sz w:val="20"/>
          <w:szCs w:val="20"/>
        </w:rPr>
        <w:t>6.</w:t>
      </w:r>
      <w:r w:rsidRPr="006D1590">
        <w:rPr>
          <w:sz w:val="20"/>
          <w:szCs w:val="20"/>
        </w:rPr>
        <w:tab/>
        <w:t>Review of Combined Assurance Charter (draft provided which require enhancement)</w:t>
      </w:r>
    </w:p>
    <w:p w14:paraId="59EC191E" w14:textId="77777777" w:rsidR="00DA6FCA" w:rsidRPr="006D1590" w:rsidRDefault="00DA6FCA" w:rsidP="006D1590">
      <w:pPr>
        <w:pStyle w:val="BodyText"/>
        <w:ind w:left="426" w:hanging="426"/>
        <w:rPr>
          <w:sz w:val="20"/>
          <w:szCs w:val="20"/>
        </w:rPr>
      </w:pPr>
      <w:r w:rsidRPr="006D1590">
        <w:rPr>
          <w:sz w:val="20"/>
          <w:szCs w:val="20"/>
        </w:rPr>
        <w:t>7.</w:t>
      </w:r>
      <w:r w:rsidRPr="006D1590">
        <w:rPr>
          <w:sz w:val="20"/>
          <w:szCs w:val="20"/>
        </w:rPr>
        <w:tab/>
        <w:t>Conduct of Combined Assurance Reliance Assessment (case study information provided for assessment to be conducted)</w:t>
      </w:r>
    </w:p>
    <w:p w14:paraId="518C8843" w14:textId="77777777" w:rsidR="00DA6FCA" w:rsidRPr="006D1590" w:rsidRDefault="00DA6FCA" w:rsidP="006D1590">
      <w:pPr>
        <w:pStyle w:val="BodyText"/>
        <w:ind w:left="426" w:hanging="426"/>
        <w:rPr>
          <w:sz w:val="20"/>
          <w:szCs w:val="20"/>
        </w:rPr>
      </w:pPr>
    </w:p>
    <w:p w14:paraId="17544F8E" w14:textId="77777777" w:rsidR="00DA6FCA" w:rsidRPr="006D1590" w:rsidRDefault="00DA6FCA" w:rsidP="006D1590">
      <w:pPr>
        <w:pStyle w:val="BodyText"/>
        <w:ind w:left="426" w:hanging="426"/>
        <w:rPr>
          <w:sz w:val="20"/>
          <w:szCs w:val="20"/>
        </w:rPr>
      </w:pPr>
      <w:r w:rsidRPr="006D1590">
        <w:rPr>
          <w:sz w:val="20"/>
          <w:szCs w:val="20"/>
        </w:rPr>
        <w:t>Day 3 (9:00 to 12:00)</w:t>
      </w:r>
    </w:p>
    <w:p w14:paraId="187CAC91" w14:textId="77777777" w:rsidR="00DA6FCA" w:rsidRPr="006D1590" w:rsidRDefault="00DA6FCA" w:rsidP="006D1590">
      <w:pPr>
        <w:pStyle w:val="BodyText"/>
        <w:ind w:left="426" w:hanging="426"/>
        <w:rPr>
          <w:sz w:val="20"/>
          <w:szCs w:val="20"/>
        </w:rPr>
      </w:pPr>
      <w:r w:rsidRPr="006D1590">
        <w:rPr>
          <w:sz w:val="20"/>
          <w:szCs w:val="20"/>
        </w:rPr>
        <w:t>1.</w:t>
      </w:r>
      <w:r w:rsidRPr="006D1590">
        <w:rPr>
          <w:sz w:val="20"/>
          <w:szCs w:val="20"/>
        </w:rPr>
        <w:tab/>
        <w:t>Feedback regarding the participants submission of deliverables as documented in Combined Assurance Tool.</w:t>
      </w:r>
    </w:p>
    <w:p w14:paraId="01F4F013" w14:textId="77777777" w:rsidR="00DA6FCA" w:rsidRPr="006D1590" w:rsidRDefault="00DA6FCA" w:rsidP="006D1590">
      <w:pPr>
        <w:pStyle w:val="BodyText"/>
        <w:ind w:left="426" w:hanging="426"/>
        <w:rPr>
          <w:sz w:val="20"/>
          <w:szCs w:val="20"/>
        </w:rPr>
      </w:pPr>
      <w:r w:rsidRPr="006D1590">
        <w:rPr>
          <w:sz w:val="20"/>
          <w:szCs w:val="20"/>
        </w:rPr>
        <w:t>2.</w:t>
      </w:r>
      <w:r w:rsidRPr="006D1590">
        <w:rPr>
          <w:sz w:val="20"/>
          <w:szCs w:val="20"/>
        </w:rPr>
        <w:tab/>
        <w:t xml:space="preserve">Feedback regarding the participants submission of Combined Assurance Forum Charter </w:t>
      </w:r>
    </w:p>
    <w:p w14:paraId="2CAAC1A0" w14:textId="77777777" w:rsidR="00DA6FCA" w:rsidRPr="006D1590" w:rsidRDefault="00DA6FCA" w:rsidP="006D1590">
      <w:pPr>
        <w:pStyle w:val="BodyText"/>
        <w:ind w:left="426" w:hanging="426"/>
        <w:rPr>
          <w:sz w:val="20"/>
          <w:szCs w:val="20"/>
        </w:rPr>
      </w:pPr>
      <w:r w:rsidRPr="006D1590">
        <w:rPr>
          <w:sz w:val="20"/>
          <w:szCs w:val="20"/>
        </w:rPr>
        <w:t>3.</w:t>
      </w:r>
      <w:r w:rsidRPr="006D1590">
        <w:rPr>
          <w:sz w:val="20"/>
          <w:szCs w:val="20"/>
        </w:rPr>
        <w:tab/>
        <w:t xml:space="preserve">Feedback regarding the participants submission of Combined Assurance Charter </w:t>
      </w:r>
    </w:p>
    <w:p w14:paraId="5AFCCF84" w14:textId="2DD2DDDC" w:rsidR="00BC5AFB" w:rsidRPr="006D1590" w:rsidRDefault="00DA6FCA" w:rsidP="006D1590">
      <w:pPr>
        <w:pStyle w:val="BodyText"/>
        <w:ind w:left="426" w:hanging="426"/>
        <w:rPr>
          <w:sz w:val="20"/>
          <w:szCs w:val="20"/>
        </w:rPr>
      </w:pPr>
      <w:r w:rsidRPr="006D1590">
        <w:rPr>
          <w:sz w:val="20"/>
          <w:szCs w:val="20"/>
        </w:rPr>
        <w:t>4.</w:t>
      </w:r>
      <w:r w:rsidRPr="006D1590">
        <w:rPr>
          <w:sz w:val="20"/>
          <w:szCs w:val="20"/>
        </w:rPr>
        <w:tab/>
        <w:t>Feedback regarding the participants submission of Combined Assurance Reliance Assessment</w:t>
      </w:r>
    </w:p>
    <w:p w14:paraId="33A43CD7" w14:textId="77777777" w:rsidR="00DA6FCA" w:rsidRDefault="00DA6FCA" w:rsidP="00DA6FCA">
      <w:pPr>
        <w:rPr>
          <w:b/>
          <w:bCs/>
          <w:color w:val="1F497D" w:themeColor="text2"/>
        </w:rPr>
      </w:pPr>
    </w:p>
    <w:p w14:paraId="77FDA260" w14:textId="77777777" w:rsidR="006D1590" w:rsidRDefault="006D1590" w:rsidP="00401EDD">
      <w:pPr>
        <w:pStyle w:val="Heading1"/>
        <w:ind w:left="0"/>
        <w:rPr>
          <w:color w:val="1F497D" w:themeColor="text2"/>
        </w:rPr>
      </w:pPr>
    </w:p>
    <w:p w14:paraId="57900FBD" w14:textId="77777777" w:rsidR="006D1590" w:rsidRDefault="006D1590" w:rsidP="00401EDD">
      <w:pPr>
        <w:pStyle w:val="Heading1"/>
        <w:ind w:left="0"/>
        <w:rPr>
          <w:color w:val="1F497D" w:themeColor="text2"/>
        </w:rPr>
      </w:pPr>
    </w:p>
    <w:p w14:paraId="51F0A997" w14:textId="584B307D" w:rsidR="00A92960" w:rsidRPr="00401EDD" w:rsidRDefault="00401EDD" w:rsidP="00401EDD">
      <w:pPr>
        <w:pStyle w:val="Heading1"/>
        <w:ind w:left="0"/>
        <w:rPr>
          <w:color w:val="1F497D" w:themeColor="text2"/>
        </w:rPr>
      </w:pPr>
      <w:r w:rsidRPr="00401EDD">
        <w:rPr>
          <w:color w:val="1F497D" w:themeColor="text2"/>
        </w:rPr>
        <w:lastRenderedPageBreak/>
        <w:t xml:space="preserve">Who should </w:t>
      </w:r>
      <w:proofErr w:type="gramStart"/>
      <w:r w:rsidRPr="00401EDD">
        <w:rPr>
          <w:color w:val="1F497D" w:themeColor="text2"/>
        </w:rPr>
        <w:t>attend</w:t>
      </w:r>
      <w:proofErr w:type="gramEnd"/>
    </w:p>
    <w:p w14:paraId="489AE906" w14:textId="77777777" w:rsidR="006D124B" w:rsidRPr="006D124B" w:rsidRDefault="006D124B" w:rsidP="006D124B">
      <w:pPr>
        <w:pStyle w:val="BodyText"/>
        <w:rPr>
          <w:sz w:val="20"/>
          <w:szCs w:val="20"/>
        </w:rPr>
      </w:pPr>
      <w:r w:rsidRPr="006D124B">
        <w:rPr>
          <w:sz w:val="20"/>
          <w:szCs w:val="20"/>
        </w:rPr>
        <w:t>•</w:t>
      </w:r>
      <w:r w:rsidRPr="006D124B">
        <w:rPr>
          <w:sz w:val="20"/>
          <w:szCs w:val="20"/>
        </w:rPr>
        <w:tab/>
        <w:t>All Assurance Providers</w:t>
      </w:r>
    </w:p>
    <w:p w14:paraId="79EA7965" w14:textId="77777777" w:rsidR="006D124B" w:rsidRPr="006D124B" w:rsidRDefault="006D124B" w:rsidP="006D124B">
      <w:pPr>
        <w:pStyle w:val="BodyText"/>
        <w:rPr>
          <w:sz w:val="20"/>
          <w:szCs w:val="20"/>
        </w:rPr>
      </w:pPr>
      <w:r w:rsidRPr="006D124B">
        <w:rPr>
          <w:sz w:val="20"/>
          <w:szCs w:val="20"/>
        </w:rPr>
        <w:t>•</w:t>
      </w:r>
      <w:r w:rsidRPr="006D124B">
        <w:rPr>
          <w:sz w:val="20"/>
          <w:szCs w:val="20"/>
        </w:rPr>
        <w:tab/>
        <w:t>Management (Governance related positions)</w:t>
      </w:r>
    </w:p>
    <w:p w14:paraId="33401F50" w14:textId="77777777" w:rsidR="006D124B" w:rsidRPr="006D124B" w:rsidRDefault="006D124B" w:rsidP="006D124B">
      <w:pPr>
        <w:pStyle w:val="BodyText"/>
        <w:rPr>
          <w:sz w:val="20"/>
          <w:szCs w:val="20"/>
        </w:rPr>
      </w:pPr>
      <w:r w:rsidRPr="006D124B">
        <w:rPr>
          <w:sz w:val="20"/>
          <w:szCs w:val="20"/>
        </w:rPr>
        <w:t>•</w:t>
      </w:r>
      <w:r w:rsidRPr="006D124B">
        <w:rPr>
          <w:sz w:val="20"/>
          <w:szCs w:val="20"/>
        </w:rPr>
        <w:tab/>
        <w:t>Compliance Officers</w:t>
      </w:r>
    </w:p>
    <w:p w14:paraId="3DFE1136" w14:textId="77777777" w:rsidR="006D124B" w:rsidRPr="006D124B" w:rsidRDefault="006D124B" w:rsidP="006D124B">
      <w:pPr>
        <w:pStyle w:val="BodyText"/>
        <w:rPr>
          <w:sz w:val="20"/>
          <w:szCs w:val="20"/>
        </w:rPr>
      </w:pPr>
      <w:r w:rsidRPr="006D124B">
        <w:rPr>
          <w:sz w:val="20"/>
          <w:szCs w:val="20"/>
        </w:rPr>
        <w:t>•</w:t>
      </w:r>
      <w:r w:rsidRPr="006D124B">
        <w:rPr>
          <w:sz w:val="20"/>
          <w:szCs w:val="20"/>
        </w:rPr>
        <w:tab/>
        <w:t>Internal Auditors</w:t>
      </w:r>
    </w:p>
    <w:p w14:paraId="56E71397" w14:textId="77777777" w:rsidR="006D124B" w:rsidRPr="006D124B" w:rsidRDefault="006D124B" w:rsidP="006D124B">
      <w:pPr>
        <w:pStyle w:val="BodyText"/>
        <w:rPr>
          <w:sz w:val="20"/>
          <w:szCs w:val="20"/>
        </w:rPr>
      </w:pPr>
      <w:r w:rsidRPr="006D124B">
        <w:rPr>
          <w:sz w:val="20"/>
          <w:szCs w:val="20"/>
        </w:rPr>
        <w:t>•</w:t>
      </w:r>
      <w:r w:rsidRPr="006D124B">
        <w:rPr>
          <w:sz w:val="20"/>
          <w:szCs w:val="20"/>
        </w:rPr>
        <w:tab/>
        <w:t>Risk Managers</w:t>
      </w:r>
    </w:p>
    <w:p w14:paraId="28B64B65" w14:textId="79E772ED" w:rsidR="00197A8B" w:rsidRDefault="006D124B" w:rsidP="006D124B">
      <w:pPr>
        <w:pStyle w:val="BodyText"/>
        <w:rPr>
          <w:sz w:val="20"/>
          <w:szCs w:val="20"/>
        </w:rPr>
      </w:pPr>
      <w:r w:rsidRPr="006D124B">
        <w:rPr>
          <w:sz w:val="20"/>
          <w:szCs w:val="20"/>
        </w:rPr>
        <w:t>•</w:t>
      </w:r>
      <w:r w:rsidRPr="006D124B">
        <w:rPr>
          <w:sz w:val="20"/>
          <w:szCs w:val="20"/>
        </w:rPr>
        <w:tab/>
        <w:t>Company Secretaries etc.</w:t>
      </w:r>
    </w:p>
    <w:p w14:paraId="2B73CEBE" w14:textId="77777777" w:rsidR="006D124B" w:rsidRPr="008B5B42" w:rsidRDefault="006D124B" w:rsidP="006D124B">
      <w:pPr>
        <w:pStyle w:val="BodyText"/>
        <w:rPr>
          <w:sz w:val="20"/>
          <w:szCs w:val="20"/>
        </w:rPr>
      </w:pPr>
    </w:p>
    <w:p w14:paraId="4EFF8BCA" w14:textId="20D9E1D8" w:rsidR="00663656" w:rsidRDefault="00663656" w:rsidP="00401EDD">
      <w:pPr>
        <w:pStyle w:val="Heading1"/>
        <w:ind w:left="142" w:hanging="142"/>
        <w:rPr>
          <w:rStyle w:val="Strong"/>
          <w:b/>
          <w:bCs/>
          <w:color w:val="1F497D" w:themeColor="text2"/>
        </w:rPr>
      </w:pPr>
      <w:r w:rsidRPr="00401EDD">
        <w:rPr>
          <w:rStyle w:val="Strong"/>
          <w:b/>
          <w:bCs/>
          <w:color w:val="1F497D" w:themeColor="text2"/>
        </w:rPr>
        <w:t xml:space="preserve">Bio of presenter:   </w:t>
      </w:r>
    </w:p>
    <w:p w14:paraId="63BBC893" w14:textId="764D3200" w:rsidR="00604AA7" w:rsidRPr="00604AA7" w:rsidRDefault="008B5595" w:rsidP="00604AA7">
      <w:pPr>
        <w:pStyle w:val="BodyText"/>
        <w:rPr>
          <w:rStyle w:val="Strong"/>
          <w:sz w:val="22"/>
          <w:szCs w:val="22"/>
        </w:rPr>
      </w:pPr>
      <w:r>
        <w:rPr>
          <w:noProof/>
        </w:rPr>
        <w:drawing>
          <wp:anchor distT="0" distB="0" distL="114300" distR="114300" simplePos="0" relativeHeight="251659264" behindDoc="0" locked="0" layoutInCell="1" allowOverlap="1" wp14:anchorId="4F3D6AC3" wp14:editId="0423F37C">
            <wp:simplePos x="0" y="0"/>
            <wp:positionH relativeFrom="column">
              <wp:posOffset>0</wp:posOffset>
            </wp:positionH>
            <wp:positionV relativeFrom="paragraph">
              <wp:posOffset>45085</wp:posOffset>
            </wp:positionV>
            <wp:extent cx="1076325" cy="1504950"/>
            <wp:effectExtent l="0" t="0" r="9525" b="0"/>
            <wp:wrapThrough wrapText="bothSides">
              <wp:wrapPolygon edited="0">
                <wp:start x="0" y="0"/>
                <wp:lineTo x="0" y="21327"/>
                <wp:lineTo x="21409" y="21327"/>
                <wp:lineTo x="21409" y="0"/>
                <wp:lineTo x="0" y="0"/>
              </wp:wrapPolygon>
            </wp:wrapThrough>
            <wp:docPr id="1365353182" name="Picture 136535318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anchor>
        </w:drawing>
      </w:r>
      <w:r w:rsidR="00604AA7" w:rsidRPr="00604AA7">
        <w:rPr>
          <w:rStyle w:val="Strong"/>
          <w:sz w:val="22"/>
          <w:szCs w:val="22"/>
        </w:rPr>
        <w:t>Gert van Wyk</w:t>
      </w:r>
    </w:p>
    <w:p w14:paraId="54C9194C" w14:textId="5E5176F3" w:rsidR="00604AA7" w:rsidRDefault="00604AA7" w:rsidP="00604AA7"/>
    <w:p w14:paraId="41DC4CAE" w14:textId="77777777" w:rsidR="00604AA7" w:rsidRPr="008B5595" w:rsidRDefault="00604AA7" w:rsidP="008B5595">
      <w:pPr>
        <w:pStyle w:val="BodyText"/>
        <w:rPr>
          <w:sz w:val="20"/>
          <w:szCs w:val="20"/>
        </w:rPr>
      </w:pPr>
      <w:r w:rsidRPr="008B5595">
        <w:rPr>
          <w:sz w:val="20"/>
          <w:szCs w:val="20"/>
        </w:rPr>
        <w:t>Gert van Wyk has a wealth of experience in the Governance, Risk and Compliance disciplines.</w:t>
      </w:r>
    </w:p>
    <w:p w14:paraId="73D6D9B4" w14:textId="77777777" w:rsidR="00604AA7" w:rsidRPr="008B5595" w:rsidRDefault="00604AA7" w:rsidP="008B5595">
      <w:pPr>
        <w:pStyle w:val="BodyText"/>
        <w:rPr>
          <w:sz w:val="20"/>
          <w:szCs w:val="20"/>
        </w:rPr>
      </w:pPr>
    </w:p>
    <w:p w14:paraId="3B768168" w14:textId="77777777" w:rsidR="00604AA7" w:rsidRPr="008B5595" w:rsidRDefault="00604AA7" w:rsidP="008B5595">
      <w:pPr>
        <w:pStyle w:val="BodyText"/>
        <w:rPr>
          <w:sz w:val="20"/>
          <w:szCs w:val="20"/>
        </w:rPr>
      </w:pPr>
      <w:r w:rsidRPr="008B5595">
        <w:rPr>
          <w:sz w:val="20"/>
          <w:szCs w:val="20"/>
        </w:rPr>
        <w:t xml:space="preserve">He has the following qualifications and designations: M Com, FIIASA, CIA, PIA, CRMA, CA (SA), CPrac (SA), </w:t>
      </w:r>
      <w:proofErr w:type="spellStart"/>
      <w:r w:rsidRPr="008B5595">
        <w:rPr>
          <w:sz w:val="20"/>
          <w:szCs w:val="20"/>
        </w:rPr>
        <w:t>CProf</w:t>
      </w:r>
      <w:proofErr w:type="spellEnd"/>
      <w:r w:rsidRPr="008B5595">
        <w:rPr>
          <w:sz w:val="20"/>
          <w:szCs w:val="20"/>
        </w:rPr>
        <w:t xml:space="preserve"> (SA).</w:t>
      </w:r>
    </w:p>
    <w:p w14:paraId="5612F03D" w14:textId="77777777" w:rsidR="008B5595" w:rsidRPr="008B5595" w:rsidRDefault="008B5595" w:rsidP="008B5595">
      <w:pPr>
        <w:pStyle w:val="BodyText"/>
        <w:rPr>
          <w:sz w:val="20"/>
          <w:szCs w:val="20"/>
        </w:rPr>
      </w:pPr>
    </w:p>
    <w:p w14:paraId="4C4F5696" w14:textId="77777777" w:rsidR="00604AA7" w:rsidRPr="008B5595" w:rsidRDefault="00604AA7" w:rsidP="008B5595">
      <w:pPr>
        <w:pStyle w:val="BodyText"/>
        <w:rPr>
          <w:sz w:val="20"/>
          <w:szCs w:val="20"/>
        </w:rPr>
      </w:pPr>
      <w:r w:rsidRPr="008B5595">
        <w:rPr>
          <w:sz w:val="20"/>
          <w:szCs w:val="20"/>
        </w:rPr>
        <w:t>Gert spent five years at KPMG before joining the Absa Group, where he held senior positions including Group Compliance Officer, Head of Operational Risk and Chief Internal Auditor.</w:t>
      </w:r>
    </w:p>
    <w:p w14:paraId="580B6DCE" w14:textId="77777777" w:rsidR="008B5595" w:rsidRPr="008B5595" w:rsidRDefault="008B5595" w:rsidP="008B5595">
      <w:pPr>
        <w:pStyle w:val="BodyText"/>
        <w:rPr>
          <w:sz w:val="20"/>
          <w:szCs w:val="20"/>
        </w:rPr>
      </w:pPr>
    </w:p>
    <w:p w14:paraId="1AB9903C" w14:textId="77777777" w:rsidR="00604AA7" w:rsidRPr="008B5595" w:rsidRDefault="00604AA7" w:rsidP="008B5595">
      <w:pPr>
        <w:pStyle w:val="BodyText"/>
        <w:rPr>
          <w:sz w:val="20"/>
          <w:szCs w:val="20"/>
        </w:rPr>
      </w:pPr>
      <w:r w:rsidRPr="008B5595">
        <w:rPr>
          <w:sz w:val="20"/>
          <w:szCs w:val="20"/>
        </w:rPr>
        <w:t>He was previously the Chair of the Audit, Risk and Governance Committee of the Compliance Institute Southern Africa and the Chair of the Risk Committee of the South African Department of Home Affairs.</w:t>
      </w:r>
    </w:p>
    <w:p w14:paraId="5DAFCA27" w14:textId="77777777" w:rsidR="008B5595" w:rsidRPr="008B5595" w:rsidRDefault="008B5595" w:rsidP="008B5595">
      <w:pPr>
        <w:pStyle w:val="BodyText"/>
        <w:rPr>
          <w:sz w:val="20"/>
          <w:szCs w:val="20"/>
        </w:rPr>
      </w:pPr>
    </w:p>
    <w:p w14:paraId="5BDF1C2C" w14:textId="77777777" w:rsidR="00604AA7" w:rsidRPr="008B5595" w:rsidRDefault="00604AA7" w:rsidP="008B5595">
      <w:pPr>
        <w:pStyle w:val="BodyText"/>
        <w:rPr>
          <w:sz w:val="20"/>
          <w:szCs w:val="20"/>
        </w:rPr>
      </w:pPr>
      <w:r w:rsidRPr="008B5595">
        <w:rPr>
          <w:sz w:val="20"/>
          <w:szCs w:val="20"/>
        </w:rPr>
        <w:t xml:space="preserve">He is a member of the South African Institute of Chartered Accountants, the Compliance Institute Southern </w:t>
      </w:r>
      <w:proofErr w:type="gramStart"/>
      <w:r w:rsidRPr="008B5595">
        <w:rPr>
          <w:sz w:val="20"/>
          <w:szCs w:val="20"/>
        </w:rPr>
        <w:t>Africa</w:t>
      </w:r>
      <w:proofErr w:type="gramEnd"/>
      <w:r w:rsidRPr="008B5595">
        <w:rPr>
          <w:sz w:val="20"/>
          <w:szCs w:val="20"/>
        </w:rPr>
        <w:t xml:space="preserve"> and the Institute of Internal Auditors.</w:t>
      </w:r>
    </w:p>
    <w:p w14:paraId="45FDD04B" w14:textId="77777777" w:rsidR="008B5595" w:rsidRPr="008B5595" w:rsidRDefault="008B5595" w:rsidP="008B5595">
      <w:pPr>
        <w:pStyle w:val="BodyText"/>
        <w:rPr>
          <w:sz w:val="20"/>
          <w:szCs w:val="20"/>
        </w:rPr>
      </w:pPr>
    </w:p>
    <w:p w14:paraId="19489DAD" w14:textId="77777777" w:rsidR="00604AA7" w:rsidRPr="008B5595" w:rsidRDefault="00604AA7" w:rsidP="008B5595">
      <w:pPr>
        <w:pStyle w:val="BodyText"/>
        <w:rPr>
          <w:sz w:val="20"/>
          <w:szCs w:val="20"/>
        </w:rPr>
      </w:pPr>
      <w:r w:rsidRPr="008B5595">
        <w:rPr>
          <w:sz w:val="20"/>
          <w:szCs w:val="20"/>
        </w:rPr>
        <w:t>He serves on the Examination Committee of the Institute of Internal Auditors and is a moderator of the Compliance Institute Southern Africa’s CPrac (SA) Board Exam.</w:t>
      </w:r>
    </w:p>
    <w:p w14:paraId="0CC80C08" w14:textId="77777777" w:rsidR="008B5595" w:rsidRPr="008B5595" w:rsidRDefault="008B5595" w:rsidP="008B5595">
      <w:pPr>
        <w:pStyle w:val="BodyText"/>
        <w:rPr>
          <w:sz w:val="20"/>
          <w:szCs w:val="20"/>
        </w:rPr>
      </w:pPr>
    </w:p>
    <w:p w14:paraId="11D5B996" w14:textId="77777777" w:rsidR="00604AA7" w:rsidRPr="008B5595" w:rsidRDefault="00604AA7" w:rsidP="008B5595">
      <w:pPr>
        <w:pStyle w:val="BodyText"/>
        <w:rPr>
          <w:sz w:val="20"/>
          <w:szCs w:val="20"/>
        </w:rPr>
      </w:pPr>
      <w:r w:rsidRPr="008B5595">
        <w:rPr>
          <w:sz w:val="20"/>
          <w:szCs w:val="20"/>
        </w:rPr>
        <w:t>During the past number of years, he has conducted more than 80 External Quality Assurance reviews on behalf of the Institute of Internal Auditors.</w:t>
      </w:r>
    </w:p>
    <w:p w14:paraId="597740D8" w14:textId="77777777" w:rsidR="00663656" w:rsidRPr="008B5595" w:rsidRDefault="00663656" w:rsidP="008B5595">
      <w:pPr>
        <w:pStyle w:val="BodyText"/>
        <w:rPr>
          <w:rFonts w:ascii="Arial"/>
          <w:sz w:val="20"/>
          <w:szCs w:val="20"/>
        </w:rPr>
      </w:pPr>
    </w:p>
    <w:sectPr w:rsidR="00663656" w:rsidRPr="008B5595">
      <w:footerReference w:type="default" r:id="rId14"/>
      <w:pgSz w:w="12240" w:h="15840"/>
      <w:pgMar w:top="960" w:right="17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BC58" w14:textId="77777777" w:rsidR="005E2C1F" w:rsidRDefault="005E2C1F" w:rsidP="005E2C1F">
      <w:r>
        <w:separator/>
      </w:r>
    </w:p>
  </w:endnote>
  <w:endnote w:type="continuationSeparator" w:id="0">
    <w:p w14:paraId="1C8C8508" w14:textId="77777777" w:rsidR="005E2C1F" w:rsidRDefault="005E2C1F" w:rsidP="005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8764"/>
      <w:docPartObj>
        <w:docPartGallery w:val="Page Numbers (Bottom of Page)"/>
        <w:docPartUnique/>
      </w:docPartObj>
    </w:sdtPr>
    <w:sdtEndPr>
      <w:rPr>
        <w:noProof/>
      </w:rPr>
    </w:sdtEndPr>
    <w:sdtContent>
      <w:p w14:paraId="28EF27A9" w14:textId="14E0050E" w:rsidR="005E2C1F" w:rsidRDefault="005E2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CC3FE" w14:textId="77777777" w:rsidR="005E2C1F" w:rsidRDefault="005E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E729" w14:textId="77777777" w:rsidR="005E2C1F" w:rsidRDefault="005E2C1F" w:rsidP="005E2C1F">
      <w:r>
        <w:separator/>
      </w:r>
    </w:p>
  </w:footnote>
  <w:footnote w:type="continuationSeparator" w:id="0">
    <w:p w14:paraId="1A636F56" w14:textId="77777777" w:rsidR="005E2C1F" w:rsidRDefault="005E2C1F" w:rsidP="005E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BA4"/>
    <w:multiLevelType w:val="hybridMultilevel"/>
    <w:tmpl w:val="7742C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1CBC"/>
    <w:multiLevelType w:val="hybridMultilevel"/>
    <w:tmpl w:val="0C4AEE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A462E2F"/>
    <w:multiLevelType w:val="hybridMultilevel"/>
    <w:tmpl w:val="0C22D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6B18BE"/>
    <w:multiLevelType w:val="hybridMultilevel"/>
    <w:tmpl w:val="F1E0C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CB11A5D"/>
    <w:multiLevelType w:val="hybridMultilevel"/>
    <w:tmpl w:val="84C2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47F80"/>
    <w:multiLevelType w:val="multilevel"/>
    <w:tmpl w:val="4FD047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A2825A4"/>
    <w:multiLevelType w:val="hybridMultilevel"/>
    <w:tmpl w:val="9056B5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B4B2EBA"/>
    <w:multiLevelType w:val="hybridMultilevel"/>
    <w:tmpl w:val="C254C5E0"/>
    <w:lvl w:ilvl="0" w:tplc="B3183C5C">
      <w:numFmt w:val="bullet"/>
      <w:lvlText w:val=""/>
      <w:lvlJc w:val="left"/>
      <w:pPr>
        <w:ind w:left="494" w:hanging="339"/>
      </w:pPr>
      <w:rPr>
        <w:rFonts w:ascii="Symbol" w:eastAsia="Symbol" w:hAnsi="Symbol" w:cs="Symbol" w:hint="default"/>
        <w:b w:val="0"/>
        <w:bCs w:val="0"/>
        <w:i w:val="0"/>
        <w:iCs w:val="0"/>
        <w:w w:val="99"/>
        <w:sz w:val="19"/>
        <w:szCs w:val="19"/>
      </w:rPr>
    </w:lvl>
    <w:lvl w:ilvl="1" w:tplc="FA6ED9E8">
      <w:numFmt w:val="bullet"/>
      <w:lvlText w:val="•"/>
      <w:lvlJc w:val="left"/>
      <w:pPr>
        <w:ind w:left="1332" w:hanging="339"/>
      </w:pPr>
      <w:rPr>
        <w:rFonts w:hint="default"/>
      </w:rPr>
    </w:lvl>
    <w:lvl w:ilvl="2" w:tplc="50540120">
      <w:numFmt w:val="bullet"/>
      <w:lvlText w:val="•"/>
      <w:lvlJc w:val="left"/>
      <w:pPr>
        <w:ind w:left="2164" w:hanging="339"/>
      </w:pPr>
      <w:rPr>
        <w:rFonts w:hint="default"/>
      </w:rPr>
    </w:lvl>
    <w:lvl w:ilvl="3" w:tplc="976EC772">
      <w:numFmt w:val="bullet"/>
      <w:lvlText w:val="•"/>
      <w:lvlJc w:val="left"/>
      <w:pPr>
        <w:ind w:left="2996" w:hanging="339"/>
      </w:pPr>
      <w:rPr>
        <w:rFonts w:hint="default"/>
      </w:rPr>
    </w:lvl>
    <w:lvl w:ilvl="4" w:tplc="1522FE82">
      <w:numFmt w:val="bullet"/>
      <w:lvlText w:val="•"/>
      <w:lvlJc w:val="left"/>
      <w:pPr>
        <w:ind w:left="3828" w:hanging="339"/>
      </w:pPr>
      <w:rPr>
        <w:rFonts w:hint="default"/>
      </w:rPr>
    </w:lvl>
    <w:lvl w:ilvl="5" w:tplc="5C70C866">
      <w:numFmt w:val="bullet"/>
      <w:lvlText w:val="•"/>
      <w:lvlJc w:val="left"/>
      <w:pPr>
        <w:ind w:left="4660" w:hanging="339"/>
      </w:pPr>
      <w:rPr>
        <w:rFonts w:hint="default"/>
      </w:rPr>
    </w:lvl>
    <w:lvl w:ilvl="6" w:tplc="A7B8DB1C">
      <w:numFmt w:val="bullet"/>
      <w:lvlText w:val="•"/>
      <w:lvlJc w:val="left"/>
      <w:pPr>
        <w:ind w:left="5492" w:hanging="339"/>
      </w:pPr>
      <w:rPr>
        <w:rFonts w:hint="default"/>
      </w:rPr>
    </w:lvl>
    <w:lvl w:ilvl="7" w:tplc="659A2A0E">
      <w:numFmt w:val="bullet"/>
      <w:lvlText w:val="•"/>
      <w:lvlJc w:val="left"/>
      <w:pPr>
        <w:ind w:left="6324" w:hanging="339"/>
      </w:pPr>
      <w:rPr>
        <w:rFonts w:hint="default"/>
      </w:rPr>
    </w:lvl>
    <w:lvl w:ilvl="8" w:tplc="D81A1640">
      <w:numFmt w:val="bullet"/>
      <w:lvlText w:val="•"/>
      <w:lvlJc w:val="left"/>
      <w:pPr>
        <w:ind w:left="7156" w:hanging="339"/>
      </w:pPr>
      <w:rPr>
        <w:rFonts w:hint="default"/>
      </w:rPr>
    </w:lvl>
  </w:abstractNum>
  <w:abstractNum w:abstractNumId="8" w15:restartNumberingAfterBreak="0">
    <w:nsid w:val="50A91D4E"/>
    <w:multiLevelType w:val="hybridMultilevel"/>
    <w:tmpl w:val="F238E920"/>
    <w:lvl w:ilvl="0" w:tplc="249E149E">
      <w:numFmt w:val="bullet"/>
      <w:lvlText w:val="•"/>
      <w:lvlJc w:val="left"/>
      <w:pPr>
        <w:ind w:left="291" w:hanging="136"/>
      </w:pPr>
      <w:rPr>
        <w:rFonts w:ascii="Calibri" w:eastAsia="Calibri" w:hAnsi="Calibri" w:cs="Calibri" w:hint="default"/>
        <w:b w:val="0"/>
        <w:bCs w:val="0"/>
        <w:i w:val="0"/>
        <w:iCs w:val="0"/>
        <w:w w:val="99"/>
        <w:sz w:val="19"/>
        <w:szCs w:val="19"/>
      </w:rPr>
    </w:lvl>
    <w:lvl w:ilvl="1" w:tplc="3C2E2906">
      <w:numFmt w:val="bullet"/>
      <w:lvlText w:val="•"/>
      <w:lvlJc w:val="left"/>
      <w:pPr>
        <w:ind w:left="1152" w:hanging="136"/>
      </w:pPr>
      <w:rPr>
        <w:rFonts w:hint="default"/>
      </w:rPr>
    </w:lvl>
    <w:lvl w:ilvl="2" w:tplc="2A9C2EE8">
      <w:numFmt w:val="bullet"/>
      <w:lvlText w:val="•"/>
      <w:lvlJc w:val="left"/>
      <w:pPr>
        <w:ind w:left="2004" w:hanging="136"/>
      </w:pPr>
      <w:rPr>
        <w:rFonts w:hint="default"/>
      </w:rPr>
    </w:lvl>
    <w:lvl w:ilvl="3" w:tplc="FFC609A2">
      <w:numFmt w:val="bullet"/>
      <w:lvlText w:val="•"/>
      <w:lvlJc w:val="left"/>
      <w:pPr>
        <w:ind w:left="2856" w:hanging="136"/>
      </w:pPr>
      <w:rPr>
        <w:rFonts w:hint="default"/>
      </w:rPr>
    </w:lvl>
    <w:lvl w:ilvl="4" w:tplc="F6EA3346">
      <w:numFmt w:val="bullet"/>
      <w:lvlText w:val="•"/>
      <w:lvlJc w:val="left"/>
      <w:pPr>
        <w:ind w:left="3708" w:hanging="136"/>
      </w:pPr>
      <w:rPr>
        <w:rFonts w:hint="default"/>
      </w:rPr>
    </w:lvl>
    <w:lvl w:ilvl="5" w:tplc="922E5142">
      <w:numFmt w:val="bullet"/>
      <w:lvlText w:val="•"/>
      <w:lvlJc w:val="left"/>
      <w:pPr>
        <w:ind w:left="4560" w:hanging="136"/>
      </w:pPr>
      <w:rPr>
        <w:rFonts w:hint="default"/>
      </w:rPr>
    </w:lvl>
    <w:lvl w:ilvl="6" w:tplc="BA98D3B6">
      <w:numFmt w:val="bullet"/>
      <w:lvlText w:val="•"/>
      <w:lvlJc w:val="left"/>
      <w:pPr>
        <w:ind w:left="5412" w:hanging="136"/>
      </w:pPr>
      <w:rPr>
        <w:rFonts w:hint="default"/>
      </w:rPr>
    </w:lvl>
    <w:lvl w:ilvl="7" w:tplc="9ED2552A">
      <w:numFmt w:val="bullet"/>
      <w:lvlText w:val="•"/>
      <w:lvlJc w:val="left"/>
      <w:pPr>
        <w:ind w:left="6264" w:hanging="136"/>
      </w:pPr>
      <w:rPr>
        <w:rFonts w:hint="default"/>
      </w:rPr>
    </w:lvl>
    <w:lvl w:ilvl="8" w:tplc="96D045BE">
      <w:numFmt w:val="bullet"/>
      <w:lvlText w:val="•"/>
      <w:lvlJc w:val="left"/>
      <w:pPr>
        <w:ind w:left="7116" w:hanging="136"/>
      </w:pPr>
      <w:rPr>
        <w:rFonts w:hint="default"/>
      </w:rPr>
    </w:lvl>
  </w:abstractNum>
  <w:abstractNum w:abstractNumId="9" w15:restartNumberingAfterBreak="0">
    <w:nsid w:val="54AE5CF6"/>
    <w:multiLevelType w:val="hybridMultilevel"/>
    <w:tmpl w:val="0DBC51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5DF1231"/>
    <w:multiLevelType w:val="multilevel"/>
    <w:tmpl w:val="D3EE11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9E20D8"/>
    <w:multiLevelType w:val="hybridMultilevel"/>
    <w:tmpl w:val="53EA9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7A23B97"/>
    <w:multiLevelType w:val="multilevel"/>
    <w:tmpl w:val="9596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F31436"/>
    <w:multiLevelType w:val="hybridMultilevel"/>
    <w:tmpl w:val="354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6422E"/>
    <w:multiLevelType w:val="hybridMultilevel"/>
    <w:tmpl w:val="4EE4F9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A212228"/>
    <w:multiLevelType w:val="hybridMultilevel"/>
    <w:tmpl w:val="7A963A0C"/>
    <w:lvl w:ilvl="0" w:tplc="55C83868">
      <w:start w:val="1"/>
      <w:numFmt w:val="bullet"/>
      <w:pStyle w:val="Bullet"/>
      <w:lvlText w:val=""/>
      <w:lvlJc w:val="left"/>
      <w:pPr>
        <w:ind w:left="360" w:hanging="360"/>
      </w:pPr>
      <w:rPr>
        <w:rFonts w:ascii="Symbol" w:hAnsi="Symbol" w:hint="default"/>
      </w:rPr>
    </w:lvl>
    <w:lvl w:ilvl="1" w:tplc="5974190E">
      <w:start w:val="1"/>
      <w:numFmt w:val="bullet"/>
      <w:pStyle w:val="Bullet0"/>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7D155793"/>
    <w:multiLevelType w:val="hybridMultilevel"/>
    <w:tmpl w:val="E980757C"/>
    <w:lvl w:ilvl="0" w:tplc="72383372">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212F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A4FE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C374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E459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EC1C3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CF424">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63F9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7E9C9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2258980">
    <w:abstractNumId w:val="7"/>
  </w:num>
  <w:num w:numId="2" w16cid:durableId="134640931">
    <w:abstractNumId w:val="8"/>
  </w:num>
  <w:num w:numId="3" w16cid:durableId="709034476">
    <w:abstractNumId w:val="5"/>
  </w:num>
  <w:num w:numId="4" w16cid:durableId="1751852566">
    <w:abstractNumId w:val="10"/>
  </w:num>
  <w:num w:numId="5" w16cid:durableId="803040231">
    <w:abstractNumId w:val="9"/>
  </w:num>
  <w:num w:numId="6" w16cid:durableId="158039462">
    <w:abstractNumId w:val="2"/>
  </w:num>
  <w:num w:numId="7" w16cid:durableId="697583558">
    <w:abstractNumId w:val="6"/>
  </w:num>
  <w:num w:numId="8" w16cid:durableId="1125928293">
    <w:abstractNumId w:val="11"/>
  </w:num>
  <w:num w:numId="9" w16cid:durableId="1102997837">
    <w:abstractNumId w:val="14"/>
  </w:num>
  <w:num w:numId="10" w16cid:durableId="700201875">
    <w:abstractNumId w:val="12"/>
  </w:num>
  <w:num w:numId="11" w16cid:durableId="599030325">
    <w:abstractNumId w:val="1"/>
  </w:num>
  <w:num w:numId="12" w16cid:durableId="1388337179">
    <w:abstractNumId w:val="3"/>
  </w:num>
  <w:num w:numId="13" w16cid:durableId="1177236990">
    <w:abstractNumId w:val="0"/>
  </w:num>
  <w:num w:numId="14" w16cid:durableId="2116051032">
    <w:abstractNumId w:val="4"/>
  </w:num>
  <w:num w:numId="15" w16cid:durableId="1399091328">
    <w:abstractNumId w:val="13"/>
  </w:num>
  <w:num w:numId="16" w16cid:durableId="500706575">
    <w:abstractNumId w:val="16"/>
  </w:num>
  <w:num w:numId="17" w16cid:durableId="1800221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24"/>
    <w:rsid w:val="00060FCE"/>
    <w:rsid w:val="00096D47"/>
    <w:rsid w:val="001419A7"/>
    <w:rsid w:val="00143F29"/>
    <w:rsid w:val="00144418"/>
    <w:rsid w:val="00197A8B"/>
    <w:rsid w:val="001A5797"/>
    <w:rsid w:val="001B5610"/>
    <w:rsid w:val="001D4EB6"/>
    <w:rsid w:val="00232B91"/>
    <w:rsid w:val="00236716"/>
    <w:rsid w:val="00246FE4"/>
    <w:rsid w:val="00253064"/>
    <w:rsid w:val="00267647"/>
    <w:rsid w:val="002B6BEF"/>
    <w:rsid w:val="002D2615"/>
    <w:rsid w:val="0032680E"/>
    <w:rsid w:val="00347104"/>
    <w:rsid w:val="003A0339"/>
    <w:rsid w:val="003B1811"/>
    <w:rsid w:val="003F2B9C"/>
    <w:rsid w:val="00401EDD"/>
    <w:rsid w:val="00414BB0"/>
    <w:rsid w:val="004B3C8B"/>
    <w:rsid w:val="004C6715"/>
    <w:rsid w:val="004C6A30"/>
    <w:rsid w:val="004D04EA"/>
    <w:rsid w:val="004D611F"/>
    <w:rsid w:val="004E0D65"/>
    <w:rsid w:val="004E3A80"/>
    <w:rsid w:val="005104A6"/>
    <w:rsid w:val="00547CF2"/>
    <w:rsid w:val="005772BF"/>
    <w:rsid w:val="00580362"/>
    <w:rsid w:val="005B6559"/>
    <w:rsid w:val="005C15D6"/>
    <w:rsid w:val="005E2C1F"/>
    <w:rsid w:val="005F0635"/>
    <w:rsid w:val="00602424"/>
    <w:rsid w:val="00604AA7"/>
    <w:rsid w:val="00657AE1"/>
    <w:rsid w:val="00663656"/>
    <w:rsid w:val="006D124B"/>
    <w:rsid w:val="006D1255"/>
    <w:rsid w:val="006D1590"/>
    <w:rsid w:val="007071E4"/>
    <w:rsid w:val="00764041"/>
    <w:rsid w:val="00773C20"/>
    <w:rsid w:val="00790503"/>
    <w:rsid w:val="008246D5"/>
    <w:rsid w:val="00846995"/>
    <w:rsid w:val="00867B9A"/>
    <w:rsid w:val="008704E9"/>
    <w:rsid w:val="008B5595"/>
    <w:rsid w:val="008B5B42"/>
    <w:rsid w:val="008F47E4"/>
    <w:rsid w:val="009513CA"/>
    <w:rsid w:val="00963909"/>
    <w:rsid w:val="009D3FDD"/>
    <w:rsid w:val="00A26FC3"/>
    <w:rsid w:val="00A72C87"/>
    <w:rsid w:val="00A92960"/>
    <w:rsid w:val="00AB3DB1"/>
    <w:rsid w:val="00AE0E24"/>
    <w:rsid w:val="00AF7AB6"/>
    <w:rsid w:val="00B0111C"/>
    <w:rsid w:val="00B264CF"/>
    <w:rsid w:val="00BA4E0A"/>
    <w:rsid w:val="00BC3696"/>
    <w:rsid w:val="00BC5AFB"/>
    <w:rsid w:val="00C10B2D"/>
    <w:rsid w:val="00C26C46"/>
    <w:rsid w:val="00C46D01"/>
    <w:rsid w:val="00C521F4"/>
    <w:rsid w:val="00C54C6E"/>
    <w:rsid w:val="00C73D91"/>
    <w:rsid w:val="00CB41F3"/>
    <w:rsid w:val="00CF579C"/>
    <w:rsid w:val="00D66D3E"/>
    <w:rsid w:val="00D84764"/>
    <w:rsid w:val="00DA6FCA"/>
    <w:rsid w:val="00E17B7F"/>
    <w:rsid w:val="00E37FD9"/>
    <w:rsid w:val="00EB52F2"/>
    <w:rsid w:val="00EC6EAA"/>
    <w:rsid w:val="00EE259E"/>
    <w:rsid w:val="00F5615D"/>
    <w:rsid w:val="00F97F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58E2"/>
  <w15:docId w15:val="{BD78DB64-6F52-4145-9150-5FD5B2EB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link w:val="ListParagraphChar"/>
    <w:uiPriority w:val="34"/>
    <w:qFormat/>
    <w:pPr>
      <w:ind w:left="494" w:hanging="339"/>
    </w:pPr>
  </w:style>
  <w:style w:type="paragraph" w:customStyle="1" w:styleId="TableParagraph">
    <w:name w:val="Table Paragraph"/>
    <w:basedOn w:val="Normal"/>
    <w:uiPriority w:val="1"/>
    <w:qFormat/>
    <w:pPr>
      <w:spacing w:before="6"/>
      <w:ind w:left="95"/>
    </w:pPr>
  </w:style>
  <w:style w:type="paragraph" w:styleId="NormalWeb">
    <w:name w:val="Normal (Web)"/>
    <w:basedOn w:val="Normal"/>
    <w:uiPriority w:val="99"/>
    <w:unhideWhenUsed/>
    <w:rsid w:val="00A92960"/>
    <w:pPr>
      <w:widowControl/>
      <w:autoSpaceDE/>
      <w:autoSpaceDN/>
      <w:spacing w:before="100" w:beforeAutospacing="1" w:after="100" w:afterAutospacing="1"/>
    </w:pPr>
    <w:rPr>
      <w:rFonts w:eastAsiaTheme="minorHAnsi"/>
      <w:lang w:val="en-ZA" w:eastAsia="en-ZA"/>
    </w:rPr>
  </w:style>
  <w:style w:type="character" w:styleId="Strong">
    <w:name w:val="Strong"/>
    <w:basedOn w:val="DefaultParagraphFont"/>
    <w:uiPriority w:val="22"/>
    <w:qFormat/>
    <w:rsid w:val="00A92960"/>
    <w:rPr>
      <w:b/>
      <w:bCs/>
    </w:rPr>
  </w:style>
  <w:style w:type="paragraph" w:styleId="NoSpacing">
    <w:name w:val="No Spacing"/>
    <w:uiPriority w:val="1"/>
    <w:qFormat/>
    <w:rsid w:val="00347104"/>
    <w:rPr>
      <w:rFonts w:ascii="Calibri" w:eastAsia="Calibri" w:hAnsi="Calibri" w:cs="Calibri"/>
    </w:rPr>
  </w:style>
  <w:style w:type="paragraph" w:styleId="Title">
    <w:name w:val="Title"/>
    <w:basedOn w:val="Normal"/>
    <w:next w:val="Normal"/>
    <w:link w:val="TitleChar"/>
    <w:uiPriority w:val="10"/>
    <w:qFormat/>
    <w:rsid w:val="00401E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ED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2C1F"/>
    <w:pPr>
      <w:tabs>
        <w:tab w:val="center" w:pos="4513"/>
        <w:tab w:val="right" w:pos="9026"/>
      </w:tabs>
    </w:pPr>
  </w:style>
  <w:style w:type="character" w:customStyle="1" w:styleId="HeaderChar">
    <w:name w:val="Header Char"/>
    <w:basedOn w:val="DefaultParagraphFont"/>
    <w:link w:val="Header"/>
    <w:uiPriority w:val="99"/>
    <w:rsid w:val="005E2C1F"/>
    <w:rPr>
      <w:rFonts w:ascii="Calibri" w:eastAsia="Calibri" w:hAnsi="Calibri" w:cs="Calibri"/>
    </w:rPr>
  </w:style>
  <w:style w:type="paragraph" w:styleId="Footer">
    <w:name w:val="footer"/>
    <w:basedOn w:val="Normal"/>
    <w:link w:val="FooterChar"/>
    <w:uiPriority w:val="99"/>
    <w:unhideWhenUsed/>
    <w:rsid w:val="005E2C1F"/>
    <w:pPr>
      <w:tabs>
        <w:tab w:val="center" w:pos="4513"/>
        <w:tab w:val="right" w:pos="9026"/>
      </w:tabs>
    </w:pPr>
  </w:style>
  <w:style w:type="character" w:customStyle="1" w:styleId="FooterChar">
    <w:name w:val="Footer Char"/>
    <w:basedOn w:val="DefaultParagraphFont"/>
    <w:link w:val="Footer"/>
    <w:uiPriority w:val="99"/>
    <w:rsid w:val="005E2C1F"/>
    <w:rPr>
      <w:rFonts w:ascii="Calibri" w:eastAsia="Calibri" w:hAnsi="Calibri" w:cs="Calibri"/>
    </w:rPr>
  </w:style>
  <w:style w:type="table" w:customStyle="1" w:styleId="TableGrid">
    <w:name w:val="TableGrid"/>
    <w:rsid w:val="003B1811"/>
    <w:pPr>
      <w:widowControl/>
      <w:autoSpaceDE/>
      <w:autoSpaceDN/>
    </w:pPr>
    <w:rPr>
      <w:rFonts w:eastAsiaTheme="minorEastAsia"/>
      <w:sz w:val="24"/>
      <w:szCs w:val="24"/>
      <w:lang w:val="en-ZA"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5F0635"/>
    <w:rPr>
      <w:color w:val="0000FF" w:themeColor="hyperlink"/>
      <w:u w:val="single"/>
    </w:rPr>
  </w:style>
  <w:style w:type="character" w:styleId="UnresolvedMention">
    <w:name w:val="Unresolved Mention"/>
    <w:basedOn w:val="DefaultParagraphFont"/>
    <w:uiPriority w:val="99"/>
    <w:semiHidden/>
    <w:unhideWhenUsed/>
    <w:rsid w:val="005F0635"/>
    <w:rPr>
      <w:color w:val="605E5C"/>
      <w:shd w:val="clear" w:color="auto" w:fill="E1DFDD"/>
    </w:rPr>
  </w:style>
  <w:style w:type="paragraph" w:customStyle="1" w:styleId="Bullet">
    <w:name w:val="Bullet"/>
    <w:basedOn w:val="ListParagraph"/>
    <w:link w:val="BulletChar"/>
    <w:qFormat/>
    <w:rsid w:val="00EE259E"/>
    <w:pPr>
      <w:widowControl/>
      <w:numPr>
        <w:numId w:val="17"/>
      </w:numPr>
      <w:autoSpaceDE/>
      <w:autoSpaceDN/>
      <w:spacing w:after="200" w:line="276" w:lineRule="auto"/>
      <w:contextualSpacing/>
    </w:pPr>
    <w:rPr>
      <w:rFonts w:asciiTheme="minorHAnsi" w:eastAsiaTheme="minorHAnsi" w:hAnsiTheme="minorHAnsi" w:cstheme="minorBidi"/>
      <w:lang w:val="en-ZA"/>
    </w:rPr>
  </w:style>
  <w:style w:type="character" w:customStyle="1" w:styleId="BulletChar">
    <w:name w:val="Bullet Char"/>
    <w:basedOn w:val="DefaultParagraphFont"/>
    <w:link w:val="Bullet"/>
    <w:rsid w:val="00EE259E"/>
    <w:rPr>
      <w:lang w:val="en-ZA"/>
    </w:rPr>
  </w:style>
  <w:style w:type="paragraph" w:customStyle="1" w:styleId="Bullet0">
    <w:name w:val="Bullet 0"/>
    <w:basedOn w:val="ListParagraph"/>
    <w:qFormat/>
    <w:rsid w:val="00EE259E"/>
    <w:pPr>
      <w:widowControl/>
      <w:numPr>
        <w:ilvl w:val="1"/>
        <w:numId w:val="17"/>
      </w:numPr>
      <w:autoSpaceDE/>
      <w:autoSpaceDN/>
      <w:spacing w:after="200" w:line="276" w:lineRule="auto"/>
      <w:ind w:left="720"/>
      <w:contextualSpacing/>
      <w:jc w:val="both"/>
    </w:pPr>
    <w:rPr>
      <w:rFonts w:asciiTheme="minorHAnsi" w:eastAsiaTheme="minorHAnsi" w:hAnsiTheme="minorHAnsi" w:cstheme="minorBidi"/>
      <w:lang w:val="en-ZA"/>
    </w:rPr>
  </w:style>
  <w:style w:type="table" w:styleId="TableGrid0">
    <w:name w:val="Table Grid"/>
    <w:basedOn w:val="TableNormal"/>
    <w:uiPriority w:val="59"/>
    <w:rsid w:val="00EE259E"/>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444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compliance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Props1.xml><?xml version="1.0" encoding="utf-8"?>
<ds:datastoreItem xmlns:ds="http://schemas.openxmlformats.org/officeDocument/2006/customXml" ds:itemID="{1E3E20C7-D437-44C6-B927-2487AEC3E340}">
  <ds:schemaRefs>
    <ds:schemaRef ds:uri="http://schemas.openxmlformats.org/officeDocument/2006/bibliography"/>
  </ds:schemaRefs>
</ds:datastoreItem>
</file>

<file path=customXml/itemProps2.xml><?xml version="1.0" encoding="utf-8"?>
<ds:datastoreItem xmlns:ds="http://schemas.openxmlformats.org/officeDocument/2006/customXml" ds:itemID="{FB9BEADC-645F-4EBB-9993-8D25D693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9B75-4CE1-4505-A2B3-77CF59DFCC2A}">
  <ds:schemaRefs>
    <ds:schemaRef ds:uri="http://schemas.microsoft.com/sharepoint/v3/contenttype/forms"/>
  </ds:schemaRefs>
</ds:datastoreItem>
</file>

<file path=customXml/itemProps4.xml><?xml version="1.0" encoding="utf-8"?>
<ds:datastoreItem xmlns:ds="http://schemas.openxmlformats.org/officeDocument/2006/customXml" ds:itemID="{B4AFE1AB-92DD-427F-BB5D-5E46C637098F}">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 SA - CRMP course outline</dc:title>
  <dc:creator>Thokozani</dc:creator>
  <cp:lastModifiedBy>Marianna Scott</cp:lastModifiedBy>
  <cp:revision>12</cp:revision>
  <dcterms:created xsi:type="dcterms:W3CDTF">2023-06-27T13:42:00Z</dcterms:created>
  <dcterms:modified xsi:type="dcterms:W3CDTF">2023-06-27T13:53:00Z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PScript5.dll Version 5.2.2</vt:lpwstr>
  </property>
  <property fmtid="{D5CDD505-2E9C-101B-9397-08002B2CF9AE}" pid="4" name="LastSaved">
    <vt:filetime>2022-02-28T00:00:00Z</vt:filetime>
  </property>
  <property fmtid="{D5CDD505-2E9C-101B-9397-08002B2CF9AE}" pid="5" name="ContentTypeId">
    <vt:lpwstr>0x010100BE3BFD40662CBD4D90DEFB96023EC545</vt:lpwstr>
  </property>
  <property fmtid="{D5CDD505-2E9C-101B-9397-08002B2CF9AE}" pid="6" name="MediaServiceImageTags">
    <vt:lpwstr/>
  </property>
</Properties>
</file>